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(a) «De clementia», con mayúscula solo en la primera palabra, en la línea «Leído hoy» y en la marca de 7.5 (07/herramientas/aplicar_cinco_de_forma.py). Ninguna otra palabra cambia. 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8 (borrador B16). Ninguna otra palabra cambia. Cambio del 9-oct-2026 (Kiko: «Sí a todo el B3 y el B4, aplícalos» y «SÍ A TODO, LO PARLAMENTADO EN ESTE CONSENSO»; fila 14 de 04p; borrador B4 de la carpeta 07): en 7.4, una frase al final de la «Lectura del autor» que remite al anexo J: hacia dónde apunta cada cosa, con lo recibido como centro. Cambio del 9-oct-2026 (cierre de los avisos de las patas del Arca, tras el informe del agente de fuentes; Kiko: «sigue con el agente y cierra lo pendiente»): en la ficha de los iroqueses (7.5),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la ficha de los iroqueses (7.5), un aviso corto: la fecha de la Gran Ley de la Paz se discute y su texto escrito es del siglo XIX. Las fechas y los parecidos entre textos son de enciclopedia (fuente secundaria, nivel B); no se ha cambiado ninguna cita ni ningún texto original. ESTADO: APROBADO por Kiko el 5-oct-2026 («SI A TODO»: el capítulo, la reclasificación del art. 21 en el anexo A y las correcciones en la Biblioteca). Su material está marcado en el inventario (04 CAPITULOS/marcas/marcas del capitulo 7.txt).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tres agentes localizaron y descargaron las fuentes (c7a: leyes y sentencias; c7b: informes y datos; c7c: historia y filosofía; unos 190 archivos); Claude leyó cada original y extrajo las citas. Leído hoy en su original: - BOE: Constitución (arts. 3.1, 20.1, 21, 23.1, 25.2, 31.1, 32.1, 39.1, 47, 48, 53.2, 53.3, 54, 55.1, 56.3, 57.1, 69.3, 71.4, 103.1, 122.3, 128.1, 135.3, 138.2, 161.1, 167 y 168; reformas de 1992, 2011, 2024 y 2026); Ley 39/2015 (arts. 39, 53.2.b, 98, 99 y 100); LGT (arts. 26, 28, 31.2, 107, 108 y 144); LEC (art. 517); LECrim (art. 544 ter); Código Penal (arts. 80, 456 y 458); LOPJ (art. 89.9, redacción de la LO 1/2025); LO 4/2015 (arts. 36, 37 y 39); LO 3/1981 (art. 30); LO 3/2020 y LO 8/2013 (lengua vehicular); LO 12/2022 (preámbulo); LO 3/2024 (disposición adicional); Ley 5/2018; Ley 22/2009 (art. 1); RD 297/2022; RD 241/2026; Informe del Tribunal de Cuentas n.º 1.513 (rescate bancario, BOE de 15-7-2025). - Tribunales: SSTC 18/1981, 76/1990, 150/1990, 172/2020, 148/2021, 183/2021, 169/2021, 198/2012, 49/2023, 31/2015, 51/2017, 114/2017, 137/2025 y 164/2025; ATS de 24-4-2025 (querella inadmitida); TEDH, Stern Taulats y Roura Capellera c. España (traducción del Ministerio de Justicia); TEDH, Kafkaris c. Chipre (texto francés); providencia del TS de 18-11-2021; notas del CGPJ sobre el TSJ de Cataluña (2020) y el TSJ de Madrid (ZBE, 2024); asunto C-504/26 (EUR-Lex). - Organismos: GRECO (2009, 2011, 2016 y 2024); Tribunal Constitucional, Memoria 2025; IGAE, indicadores del Estado, diciembre de 2025; Tribunal de Cuentas, Informe n.º 1.670 y Declaración sobre la Cuenta General de 2024 (n.º 1.677); Banco de España, nota de ayudas de 2019; nota de la Fiscalía de 2-3-2022; Consejo de Estado, informe de 16-2-2006; CGPJ (lanzamientos 2025 y 1T 2026; violencia sobre la mujer 2024 y 2T 2025); Fiscalía, Memorias 2017, 2025 y 2026; Consejo de la Juventud, Observatorio de Emancipación; La Moncloa (2024 y 2026); INE, ECV (AROPE); Fondo de Reserva; Congreso (régimen económico); Parliamentary Standards Act 2009 (IPSA); INTOSAI, ISSAI 300 (versión española); Reglamento (UE, Euratom) 2024/2509, art. 33; Revista Española de Control Externo, n.º 53 (2016); Tribunal de Cuentas Europeo, guía de metodología. - Núremberg: Jackson, informe al presidente (6-6-1945) y discurso de apertura (21-11-1945); testimonio de Whitney Harris (2003). - Autores y tradiciones: Aristóteles, Metafísica VII, 3 (griego); Confucio, Analectas XIII, 3 (chino y Legge); Séneca, De clementia I, 12 (latín); 2 Tim 3:5 (griego y Reina-Valera Antigua); Breasted (1912) y Erman (1923), textos del Imperio Medio; Rattray (1929) y Claridge (1915), ashanti; Garcilaso, Comentarios reales II, 14; Regla de la Comunidad (1QS VI, 24-25, hebreo). - Fuente secundaria (se marca en el texto): USHMM (Núremberg); prensa ghanesa (2024-2026); Britannica (esenios); Gómez Garrido (2023, por el título); Idealista News (2025); Scheppele (2013), por el título y la descripción del término en fuentes abiertas. Hallado al escribir (aprobado el 5-oct y corregido en la Biblioteca el 6-oct, libreta 72, punto 141): - 14.00: el Constitucional no «amplió» el matrimonio: avaló la ley que lo amplió (recurso desestimado). - 15.00: «unas 3.000 toneladas» es una cifra de divulgación (USHMM en español); el informe de Jackson habla de más de 100.000 documentos revisados y unos 4.000 usados; la frase de Jackson sobre las futuras generaciones es una paráfrasis (la suya: 6-6-1945); Storey no era «jefe de la fiscalía», sino «executive trial counsel»; IPSA fija los sueldos desde 2011; art. 122.3: «doce entre Jueces y Magistrados», no «a propuesta de»; GRECO 2024: «a matter of critical concern» (no «problema crítico»), y las otras dos frases no son literales; TC: 59 de 9.089 es el 0,65 % (el 0,61 % es sobre 9.656 decisiones); intereses e inversión: 34.918 frente a 8.763 M€ (unos 4 € por cada euro, no 4,5; los 7.684 M€ son «ayuda a la inversión y otras transferencias de capital»); rescate: 71.833 M€ «a 31 de diciembre de 2021», con 50.621 M€ de recursos «ciertamente empleados»; los 40 M€ son lo recuperado por sentencias y costas en 2019-2021, no lo recuperado en total (el Banco de España daba 5.225 M€ en 2019); el «como mucho el 21 %» no está en la nota de 2019; rey emérito: no hay archivo del 5-3-2025 (hubo un auto del Supremo de 24-4-2025 que inadmitió una querella), y la inviolabilidad cubrió hasta el 19-6-2014; la frase atribuida a la Revista Española de la Transparencia no es literal; STC 148/2021: la cita no es literal, y es el art. 55.1, no el 55.2; la STC 183/2021 es del segundo estado de alarma; Tribunal de Cuentas: 106.138,7 y 4.090,3 M€ son de la Declaración sobre la Cuenta General de 2024, no de la Memoria; BOE-A-1992-14245 no es la reforma de 1992 (es BOE-A-1992-20403); la Constitución se ha reformado cuatro veces, no tres (la cuarta, el 19-5-2026, art. 69.3); la STC 164/2025 resuelve una cuestión de inconstitucionalidad; el Observatorio da 30,2 años como edad media de emancipación. - 16.00: LO 4/2015, art. 36.2: sanciona la «perturbación grave» ante las Cámaras, no la protesta pacífica no comunicada (eso es el 37.1, leve, de 100 a 600 €), y la STC 172/2020 lo declaró constitucional (solo anuló el inciso «no autorizado» del 36.23); las SSTS de 23 y 28 de abril son de 2015; «5 de 184 centros» es la prueba de la sentencia, anterior al fallo (6-oct); STC 198/2012: la frase «no es la legalidad ordinaria, sino la propia Constitución la que opta…» es de los recurrentes y termina en «la configuración heterosexual del matrimonio»; el Tribunal dice que es «una opción no excluida por el constituyente» (FJ 9); STC 169/2021: un voto particular de tres magistrados, y la «expectativa o esperanza realista» es formulación del propio Tribunal; STC 51/2017: estimó íntegramente el recurso; GRECO: de las 15 recomendaciones, 6 eran de financiación de partidos (0 de 6 cumplidas en 2011; 5 de 6 en 2016), y la frase omite «fraudulent»; lanzamientos 2025: 24.540, no 25.540; el texto del Consejo de Estado es un informe, no un dictamen. - 17.00 (anexo A): art. 21, la ficha se apoya en la lectura equivocada del art. 36.2; por el propio criterio de la obra (un recurso desestimado cuenta como cumplimiento limpio) pasaría a CUMPLE; art. 32.1, la frase de la STC 198/2012; art. 6, las cifras del GRECO; art. 47, 24.540; defensa del Título X, «tres veces». Aprobado: el art. 21 pasa a CUMPLE. - 19.00: «hilemorfismo» es un término del siglo XIX; el ejemplo de Metafísica V, 2 está en 1013a; «si a un usurpador se le llama rey…» sale de Wikipedia, no de una fuente antigua; ningún texto egipcio dice «colapso de Maat»; Karikari fue depuesto por profanar las tumbas reales (Claridge); Rattray describe el taburete retirado; la frase sobre la «manipulación faccional» no se ha localizado; el tucuyricuy solo «daba cuenta» a los superiores (Garcilaso); Martin y Grube, sin leer; 1QS dice «la pureza de los Muchos», no «baño de purificación»; lo de los sumos sacerdotes asmoneos no está en la Británica; ISSAI 300: la traducción oficial dice «revisión independiente, objetiva y confiable… y sobre si existen áreas de mejora»; el art. 33 del Reglamento financiero dice «óptima relación» y «actividades acometidas», y el Reglamento 2018/1046 está derogado por el 2024/2509; la frase del manual del Tribunal de Cuentas Europeo no se ha localizado; la STC 18/1981 habla de «ciertos matices», no de presunción de inocencia. - 22.00: el apremio está en el art. 100 de la Ley 39/2015; la lista del art. 517 LEC no es cerrada; el art. 169 LGT es el embargo; la «justificación oficial» no está en ninguna ley; el recargo del 5 % es anterior a la providencia, y solo el del 20 % se suma a los intereses; STC 150/1990: «la dificultad», no «importantes dificultades»; el pasaje de las actas es de la STC 76/1990 («opiniones»); UGT: los 58 años son de un ejemplo de hostelería; 65.486 son compraventas de vivienda nueva; los 40.000 M€ de intereses se superaron en 2025. - 28.00: la audiencia del 544 ter, en 72 horas como máximo; la prohibición de mediación está hoy en el art. 89.9 LOPJ; 2T 2025, no acordadas el 32,3 %; Memoria 2017, «sentencias condenatorias», y el 0,0082 % es un promedio (2026: 0,007 %); STS 901/2016 no es un caso de violencia de género; art. 456, la pena de prisión solo si se imputó un delito grave; art. 80, «no superiores a dos años»; Torrejón: el piso del hijo fallecido, alquilado. Hallado al corregir la Biblioteca (6-oct, libreta 72, punto 141): la Memoria de la Fiscalía de 2017 escribe «un 0,18 %», pero 194 de 1.055.912 es el 0,018 % (corregido en 7.7); la nota de prensa del CGPJ da 25.540 lanzamientos en un titular y calcula sobre esa cifra el 26,6 % de Cataluña, pero sus propios datos y la suma por causas dan 24.540; el ejemplo de UGT es el de un trabajador de la hostelería de Madrid (15.675,70 € netos al año, el 40 % del sueldo, una vivienda de 364.860 €); el GRECO de 2024 llama «asunto de preocupación crítica» al bloqueo del CGPJ, no a la politización. Resuelto el 6-oct (Kiko: «SI A TODO»): el «5 de 184 centros» es la prueba de la propia sentencia del TSJ de Cataluña, anterior al fallo; la ejecución está en suspenso desde julio de 2022 (7.3, n.º 3); el art. 3.1 sigue como incumple. Torrejón: entrevista de ABC de 20-8-2025; los hechos, el 13 de agosto. Nuevo, aprobado por Kiko el 5-oct: la cuarta reforma (art. 69.3, 2026); la cita de Jackson de 1945 y su discurso de apertura; el procedimiento de destitución ashanti según Rattray y los casos de 2024-2026; 1QS en hebreo; Neferti y Jajeperreseneb. No entra: los diez casos de deslegitimación por el pueblo (19.00, 13 a 23) y el veredicto de la convergencia (19.00, 11 y 12): van a 9.2, según el índice; Maya (Martin y Grube, sin leer); la sentencia de la AP de Málaga (solo un blog); la frase de Scheppele en sus palabras (de pago); los 42.059 M€ (solo prensa). Remisiones: Núremberg (1.4); el contrato social y Montesquieu (6.1 y 6.5); el amparo, el recargo y el art. 53.3 (5.1, n.º 15, 16 y 19); la amnistía fiscal y la plusvalía (5.1, n.º 9); la Gran Ley de la Paz y Mencio (3.2, P1); Maat (4.2); la costumbre y el desuso (1.7); el Fondo de Reserva (5.1, n.º 2; 8.6); la vivienda (8.7 y 8.8). Conceptos que ancla: el método de Núremberg (7.2); la corrupción de la forma (7.5); el intento frenado (7.4). Corregido el 7-oct-2026 (capítulo 11, parte 6): Mt 11:15 en 7.5, con las palabras de la Reina-Valera Antigua, «para oir» (c9g); decía «para oír», de la de 1960.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xml:space="preserve">), la pregunta se descompone: «¿se cumple este mandato concreto, en los hechos, con fuente?». Y así, artículo por artículo, los 169. </w:t>
      </w:r>
      <w:r>
        <w:t>[14.00-1.1, 2.1 y 3.1]</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t>[14.00-4.1 y 5.2; 18.00-2.4]</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 </w:t>
      </w:r>
      <w:r>
        <w:t>[14.00-4.1; anexo A; cifras con el art. 21 reclasificado (7.3) y los arts. 7, 110 y 111 pasados a pendiente]</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t>[14.00-4.2; anexo A]</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xml:space="preserve">, arts. 124 y 103.3). Ninguno de los 69 incumplimientos equivale a un rey que disuelve el Parlamento. </w:t>
      </w:r>
      <w:r>
        <w:t>[14.00-4.3]</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 xml:space="preserve">. </w:t>
      </w:r>
      <w:r>
        <w:t>[14.00-5.1, 5.2 y 7.1]</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 </w:t>
      </w:r>
      <w:r>
        <w:t>[14.00-4.4]</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[original: «Unless we write the record of this movement with clarity and precision, we cannot blame the future if in days of peace it finds incredible the accusatory generalities uttered during the war. We must establish incredible events by credible evidence.»]</w:t>
      </w:r>
      <w:r>
        <w:t xml:space="preserve"> (Jackson, informe al presidente, 6-6-1945, Avalon Project)</w:t>
      </w:r>
      <w:r>
        <w:br/>
      </w:r>
      <w:r>
        <w:rPr>
          <w:b/>
        </w:rPr>
        <w:t>leída en su fuente · Jackson, informe al presidente, 6-6-1945, Avalon Project</w:t>
      </w:r>
      <w:r>
        <w:br/>
      </w:r>
      <w:r>
        <w:rPr>
          <w:b/>
        </w:rPr>
        <w:t>Archivo leído:</w:t>
      </w:r>
      <w:r>
        <w:t xml:space="preserve"> 15.00-1.1_Jackson_Report_to_President_1945-06-06_Avalon.html (c7c\15.00-1.1_Jackson_Report_to_President_1945-06-06_Avalon.html) · contraste del archivo de pasajes: ✔</w:t>
      </w:r>
      <w:r>
        <w:br/>
      </w:r>
      <w:r>
        <w:rPr>
          <w:b/>
        </w:rPr>
        <w:t>Lugar:</w:t>
      </w:r>
      <w:r>
        <w:t xml:space="preserve"> línea 94</w:t>
      </w:r>
      <w:r>
        <w:br/>
      </w:r>
      <w:r>
        <w:rPr>
          <w:b/>
        </w:rPr>
        <w:t>Dirección:</w:t>
      </w:r>
      <w:r>
        <w:t xml:space="preserve"> </w:t>
      </w:r>
      <w:r>
        <w:t>https://avalon.law.yale.edu/imt/jack08.asp</w:t>
      </w:r>
      <w:r>
        <w:br/>
      </w:r>
      <w:r>
        <w:rPr>
          <w:b/>
        </w:rPr>
        <w:t>Tal como está en la fuente:</w:t>
      </w:r>
      <w:r>
        <w:t xml:space="preserve"> Unless we write the record of this movement with clarity and precision, we cannot blame the future if in days of peace it finds incredible the accusatory generalities uttered during the war. We must establish incredible events by credible evidence.</w:t>
      </w:r>
      <w:r>
        <w:br/>
      </w:r>
      <w:r>
        <w:rPr>
          <w:b/>
        </w:rPr>
        <w:t>Traducción guardada:</w:t>
      </w:r>
      <w:r>
        <w:t xml:space="preserve"> Si no escribimos el registro de este movimiento con claridad y precisión, no podremos culpar al futuro si en tiempos de paz encuentra increíbles las acusaciones generales hechas durante la guerra. Debemos probar hechos increíbles con pruebas creíbles</w:t>
      </w:r>
      <w:r>
        <w:t>. Y en su discurso de apertura dijo al tribunal: «No les pediremos que condenen a estos hombres por el testimonio de sus enemigos. No hay cargo de la acusación que no pueda probarse con libros y registros»</w:t>
      </w:r>
      <w:r>
        <w:t xml:space="preserve"> [original: «We will not ask you to convict these men on the testimony of their foes. There is no count in the Indictment that cannot be proved by books and records.»]</w:t>
      </w:r>
      <w:r>
        <w:t xml:space="preserve"> (Jackson, discurso de apertura, 21-11-1945, Trial of the Major War Criminals, vol. II)</w:t>
      </w:r>
      <w:r>
        <w:br/>
      </w:r>
      <w:r>
        <w:rPr>
          <w:b/>
        </w:rPr>
        <w:t>leída en su fuente · Jackson, discurso de apertura, 21-11-1945, Trial of the Major War Criminals, vol. II</w:t>
      </w:r>
      <w:r>
        <w:br/>
      </w:r>
      <w:r>
        <w:rPr>
          <w:b/>
        </w:rPr>
        <w:t>Archivo leído:</w:t>
      </w:r>
      <w:r>
        <w:t xml:space="preserve"> 15.00-1.1_IMT_vol2_Jackson_opening_statement_1945-11-21_Avalon.html (c7c\15.00-1.1_IMT_vol2_Jackson_opening_statement_1945-11-21_Avalon.html) · contraste del archivo de pasajes: ✔</w:t>
      </w:r>
      <w:r>
        <w:br/>
      </w:r>
      <w:r>
        <w:rPr>
          <w:b/>
        </w:rPr>
        <w:t>Lugar:</w:t>
      </w:r>
      <w:r>
        <w:t xml:space="preserve"> línea 245</w:t>
      </w:r>
      <w:r>
        <w:br/>
      </w:r>
      <w:r>
        <w:rPr>
          <w:b/>
        </w:rPr>
        <w:t>Dirección:</w:t>
      </w:r>
      <w:r>
        <w:t xml:space="preserve"> </w:t>
      </w:r>
      <w:r>
        <w:t>https://avalon.law.yale.edu/imt/11-21-45.asp</w:t>
      </w:r>
      <w:r>
        <w:br/>
      </w:r>
      <w:r>
        <w:rPr>
          <w:b/>
        </w:rPr>
        <w:t>Tal como está en la fuente:</w:t>
      </w:r>
      <w:r>
        <w:t xml:space="preserve"> We will not ask you to convict these men on the testimony of their foes. There is no count in the Indictment that cannot be proved by books and records.</w:t>
      </w:r>
      <w:r>
        <w:br/>
      </w:r>
      <w:r>
        <w:rPr>
          <w:b/>
        </w:rPr>
        <w:t>Traducción guardada:</w:t>
      </w:r>
      <w:r>
        <w:t xml:space="preserve"> No les pediremos que condenen a estos hombres por el testimonio de sus enemigos. No hay cargo de la acusación que no pueda probarse con libros y registros</w:t>
      </w:r>
      <w:r>
        <w:t>. Uno de los fiscales lo contó después: Jackson pensaba llevar el juicio con testigos completados con documentos, y al ver la colección de documentos lo llevó «sobre todo con documentos completados con testigos»</w:t>
      </w:r>
      <w:r>
        <w:t xml:space="preserve"> [original: «primarily through documents supplemented by witnesses»]</w:t>
      </w:r>
      <w:r>
        <w:t xml:space="preserve"> (Whitney Harris, audiencia de la Fiscalía de la Corte Penal Internacional, 2003)</w:t>
      </w:r>
      <w:r>
        <w:br/>
      </w:r>
      <w:r>
        <w:rPr>
          <w:b/>
        </w:rPr>
        <w:t>leída en su fuente · Whitney Harris, audiencia de la Fiscalía de la Corte Penal Internacional, 2003</w:t>
      </w:r>
      <w:r>
        <w:br/>
      </w:r>
      <w:r>
        <w:rPr>
          <w:b/>
        </w:rPr>
        <w:t>Archivo leído:</w:t>
      </w:r>
      <w:r>
        <w:t xml:space="preserve"> 15.00-1.1_Whitney_Harris_2003_ICC_OTP_testimonio_Nuremberg.pdf (c7c\15.00-1.1_Whitney_Harris_2003_ICC_OTP_testimonio_Nuremberg.pdf) · contraste del archivo de pasajes: ✔</w:t>
      </w:r>
      <w:r>
        <w:br/>
      </w:r>
      <w:r>
        <w:rPr>
          <w:b/>
        </w:rPr>
        <w:t>Lugar:</w:t>
      </w:r>
      <w:r>
        <w:t xml:space="preserve"> pdf p. 1 (txt l. 42-52)</w:t>
      </w:r>
      <w:r>
        <w:br/>
      </w:r>
      <w:r>
        <w:rPr>
          <w:b/>
        </w:rPr>
        <w:t>Dirección:</w:t>
      </w:r>
      <w:r>
        <w:t xml:space="preserve"> </w:t>
      </w:r>
      <w:r>
        <w:t>https://asp.icc-cpi.int/sites/asp/files/NR/rdonlyres/92EBBE55-57ED-4EC2-8F21-0D6F6AB5EAD1/143785/030714_otp_ph1s3_Whitney_Harris.pdf</w:t>
      </w:r>
      <w:r>
        <w:br/>
      </w:r>
      <w:r>
        <w:rPr>
          <w:b/>
        </w:rPr>
        <w:t>Tal como está en la fuente:</w:t>
      </w:r>
      <w:r>
        <w:t xml:space="preserve"> Justice Jackson had planned to conduct the trial … through witnesses supplemented with documents. But when he found that we had this great collection of documents, he changed the proceeding and we conducted the trial primarily through documents supplemented by witnesses.</w:t>
      </w:r>
      <w:r>
        <w:br/>
      </w:r>
      <w:r>
        <w:rPr>
          <w:b/>
        </w:rPr>
        <w:t>Traducción guardada:</w:t>
      </w:r>
      <w:r>
        <w:t xml:space="preserve"> Jackson pensaba llevar el juicio con testigos completados con documentos; al ver la gran colección de documentos, cambió y se llevó sobre todo con documentos completados con testigos</w:t>
      </w:r>
      <w:r>
        <w:t xml:space="preserve">. </w:t>
      </w:r>
      <w:r>
        <w:t>[15.00-1.1; Jackson leído en el Avalon Project; nuevo, aprobado por Kiko el 5-oct]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 xml:space="preserve">. </w:t>
      </w:r>
      <w:r>
        <w:t>[15.00-1.2]</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br/>
      </w:r>
      <w:r>
        <w:rPr>
          <w:b/>
        </w:rPr>
        <w:t>leída en su fuente · Constitución, art. 71.4</w:t>
      </w:r>
      <w:r>
        <w:br/>
      </w:r>
      <w:r>
        <w:rPr>
          <w:b/>
        </w:rPr>
        <w:t>Archivo leído:</w:t>
      </w:r>
      <w:r>
        <w:t xml:space="preserve"> constitucion_1978.html (c5\constitucion_1978.html) · contraste del archivo de pasajes: ✔</w:t>
      </w:r>
      <w:r>
        <w:br/>
      </w:r>
      <w:r>
        <w:rPr>
          <w:b/>
        </w:rPr>
        <w:t>Lugar:</w:t>
      </w:r>
      <w:r>
        <w:t xml:space="preserve"> Art. 71.4 (#a71)</w:t>
      </w:r>
      <w:r>
        <w:br/>
      </w:r>
      <w:r>
        <w:rPr>
          <w:b/>
        </w:rPr>
        <w:t>Dirección:</w:t>
      </w:r>
      <w:r>
        <w:t xml:space="preserve"> </w:t>
      </w:r>
      <w:r>
        <w:t>https://www.boe.es/buscar/act.php?id=BOE-A-1978-31229</w:t>
      </w:r>
      <w:r>
        <w:br/>
      </w:r>
      <w:r>
        <w:rPr>
          <w:b/>
        </w:rPr>
        <w:t>Tal como está en la fuente:</w:t>
      </w:r>
      <w:r>
        <w:t xml:space="preserve"> 4. Los Diputados y Senadores percibirán una asignación que será fijada por las respectivas Cámaras.</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r>
        <w:t>[15.00-2.1 a 2.3]</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br/>
      </w:r>
      <w:r>
        <w:rPr>
          <w:b/>
        </w:rPr>
        <w:t>leída en su fuente · Constitución, art. 122.3</w:t>
      </w:r>
      <w:r>
        <w:br/>
      </w:r>
      <w:r>
        <w:rPr>
          <w:b/>
        </w:rPr>
        <w:t>Archivo leído:</w:t>
      </w:r>
      <w:r>
        <w:t xml:space="preserve"> constitucion_1978.html (c5\constitucion_1978.html) · contraste del archivo de pasajes: ✔</w:t>
      </w:r>
      <w:r>
        <w:br/>
      </w:r>
      <w:r>
        <w:rPr>
          <w:b/>
        </w:rPr>
        <w:t>Lugar:</w:t>
      </w:r>
      <w:r>
        <w:t xml:space="preserve"> Art. 122.3</w:t>
      </w:r>
      <w:r>
        <w:br/>
      </w:r>
      <w:r>
        <w:rPr>
          <w:b/>
        </w:rPr>
        <w:t>Dirección:</w:t>
      </w:r>
      <w:r>
        <w:t xml:space="preserve"> </w:t>
      </w:r>
      <w:r>
        <w:t>https://www.boe.es/buscar/act.php?id=BOE-A-1978-31229</w:t>
      </w:r>
      <w:r>
        <w:br/>
      </w:r>
      <w:r>
        <w:rPr>
          <w:b/>
        </w:rPr>
        <w:t>Tal como está en la fuente:</w:t>
      </w:r>
      <w:r>
        <w:t xml:space="preserve"> …De éstos, doce entre Jueces y Magistrados de todas las categorías judiciales, en los términos que establezca la ley orgánica; cuatro a propuesta del Congreso de los Diputados, y cuatro a propuesta del Senado, elegidos en ambos casos por mayoría de tres quintos de sus miembros, entre abogados y otros juristas…</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[original: «a matter of critical concern»]</w:t>
      </w:r>
      <w:r>
        <w:t xml:space="preserve"> (GRECO, Cuarta Ronda, segunda adenda al segundo informe de cumplimiento, 2024)</w:t>
      </w:r>
      <w:r>
        <w:br/>
      </w:r>
      <w:r>
        <w:rPr>
          <w:b/>
        </w:rPr>
        <w:t>leída en su fuente · GRECO, Cuarta Ronda, segunda adenda al segundo informe de cumplimiento, 2024</w:t>
      </w:r>
      <w:r>
        <w:br/>
      </w:r>
      <w:r>
        <w:rPr>
          <w:b/>
        </w:rPr>
        <w:t>Archivo leído:</w:t>
      </w:r>
      <w:r>
        <w:t xml:space="preserve"> 15.00_GRECO_RC4_2024_10_2a_adenda_2o_informe_cumplimiento_Espana_ENG.pdf (c7b\15.00_GRECO_RC4_2024_10_2a_adenda_2o_informe_cumplimiento_Espana_ENG.pdf) · contraste del archivo de pasajes: ✔</w:t>
      </w:r>
      <w:r>
        <w:br/>
      </w:r>
      <w:r>
        <w:rPr>
          <w:b/>
        </w:rPr>
        <w:t>Lugar:</w:t>
      </w:r>
      <w:r>
        <w:t xml:space="preserve"> Párr. 17, PDF 4</w:t>
      </w:r>
      <w:r>
        <w:br/>
      </w:r>
      <w:r>
        <w:rPr>
          <w:b/>
        </w:rPr>
        <w:t>Dirección:</w:t>
      </w:r>
      <w:r>
        <w:t xml:space="preserve"> </w:t>
      </w:r>
      <w:r>
        <w:t>https://rm.coe.int/grecorc4-2024-10-final-eng-2nd-add-to-the-2nd-compliance-report-spain-/1680b5482c</w:t>
      </w:r>
      <w:r>
        <w:br/>
      </w:r>
      <w:r>
        <w:rPr>
          <w:b/>
        </w:rPr>
        <w:t>Tal como está en la fuente:</w:t>
      </w:r>
      <w:r>
        <w:t xml:space="preserve"> The long-running deadlock in the designation of the CGPJ (for more than five years now) is a matter of critical concern, which needs to be addressed as a matter of priority.</w:t>
      </w:r>
      <w:r>
        <w:br/>
      </w:r>
      <w:r>
        <w:rPr>
          <w:b/>
        </w:rPr>
        <w:t>Traducción guardada:</w:t>
      </w:r>
      <w:r>
        <w:t xml:space="preserve"> El prolongado bloqueo en la designación del CGPJ —más de cinco años ya— es un asunto de preocupación crítica, que debe abordarse con carácter prioritario.</w:t>
      </w:r>
      <w:r>
        <w:t>. La reforma de 2024 encargó al nuevo Consejo una propuesta de reforma del sistema de elección en seis meses</w:t>
      </w:r>
      <w:r>
        <w:t xml:space="preserve"> (Ley Orgánica 3/2024, disposición adicional única)</w:t>
      </w:r>
      <w:r>
        <w:t xml:space="preserve">. </w:t>
      </w:r>
      <w:r>
        <w:t>[15.00-3.1 a 3.3]</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r>
        <w:t>[15.00-4.1 a 4.3]</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br/>
      </w:r>
      <w:r>
        <w:rPr>
          <w:b/>
        </w:rPr>
        <w:t>leída en su fuente · Constitución, art. 135.3</w:t>
      </w:r>
      <w:r>
        <w:br/>
      </w:r>
      <w:r>
        <w:rPr>
          <w:b/>
        </w:rPr>
        <w:t>Archivo leído:</w:t>
      </w:r>
      <w:r>
        <w:t xml:space="preserve"> ce.html (ant\c1\ce.html) · contraste del archivo de pasajes: ✔</w:t>
      </w:r>
      <w:r>
        <w:br/>
      </w:r>
      <w:r>
        <w:rPr>
          <w:b/>
        </w:rPr>
        <w:t>Lugar:</w:t>
      </w:r>
      <w:r>
        <w:t xml:space="preserve"> Constitución, art. 135.3</w:t>
      </w:r>
      <w:r>
        <w:br/>
      </w:r>
      <w:r>
        <w:rPr>
          <w:b/>
        </w:rPr>
        <w:t>Tal como está en la fuente:</w:t>
      </w:r>
      <w:r>
        <w:t xml:space="preserve"> gozará de prioridad absoluta</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r>
        <w:t>[15.00-5.1 a 5.3]</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br/>
      </w:r>
      <w:r>
        <w:rPr>
          <w:b/>
        </w:rPr>
        <w:t>leída en su fuente · Constitución, art. 128.1</w:t>
      </w:r>
      <w:r>
        <w:br/>
      </w:r>
      <w:r>
        <w:rPr>
          <w:b/>
        </w:rPr>
        <w:t>Archivo leído:</w:t>
      </w:r>
      <w:r>
        <w:t xml:space="preserve"> c6 (ant\c1\ce.html) · contraste del archivo de pasajes: ✔</w:t>
      </w:r>
      <w:r>
        <w:br/>
      </w:r>
      <w:r>
        <w:rPr>
          <w:b/>
        </w:rPr>
        <w:t>Tal como está en la fuente:</w:t>
      </w:r>
      <w:r>
        <w:t xml:space="preserve"> Toda la riqueza del país en sus distintas formas y sea cual fuere su titularidad está subordinada al interés general.</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r>
        <w:t>[15.00-6.1 a 6.3]</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br/>
      </w:r>
      <w:r>
        <w:rPr>
          <w:b/>
        </w:rPr>
        <w:t>leída en su fuente · Constitución, art. 56.3</w:t>
      </w:r>
      <w:r>
        <w:br/>
      </w:r>
      <w:r>
        <w:rPr>
          <w:b/>
        </w:rPr>
        <w:t>Archivo leído:</w:t>
      </w:r>
      <w:r>
        <w:t xml:space="preserve"> c6 (ant\c1\ce.html) · contraste del archivo de pasajes: ✔</w:t>
      </w:r>
      <w:r>
        <w:br/>
      </w:r>
      <w:r>
        <w:rPr>
          <w:b/>
        </w:rPr>
        <w:t>Tal como está en la fuente:</w:t>
      </w:r>
      <w:r>
        <w:t xml:space="preserve"> La persona del Rey es inviolable y no está sujeta a responsabilidad.</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br/>
      </w:r>
      <w:r>
        <w:rPr>
          <w:b/>
        </w:rPr>
        <w:t>leída en su fuente · Fiscalía General del Estado, nota de 2-3-2022</w:t>
      </w:r>
      <w:r>
        <w:br/>
      </w:r>
      <w:r>
        <w:rPr>
          <w:b/>
        </w:rPr>
        <w:t>Archivo leído:</w:t>
      </w:r>
      <w:r>
        <w:t xml:space="preserve"> 15.00_FTS_documento_2022-03-02_copia_ElPais.pdf (c7b\15.00_FTS_documento_2022-03-02_copia_ElPais.pdf) · contraste del archivo de pasajes: ✔</w:t>
      </w:r>
      <w:r>
        <w:br/>
      </w:r>
      <w:r>
        <w:rPr>
          <w:b/>
        </w:rPr>
        <w:t>Lugar:</w:t>
      </w:r>
      <w:r>
        <w:t xml:space="preserve"> PDF 1</w:t>
      </w:r>
      <w:r>
        <w:br/>
      </w:r>
      <w:r>
        <w:rPr>
          <w:b/>
        </w:rPr>
        <w:t>Dirección:</w:t>
      </w:r>
      <w:r>
        <w:t xml:space="preserve"> </w:t>
      </w:r>
      <w:r>
        <w:t>https://as00.epimg.net/descargables/2022/03/02/48d3c16834fe28e7fd281f2e86e3e2fe.pdf</w:t>
      </w:r>
      <w:r>
        <w:br/>
      </w:r>
      <w:r>
        <w:rPr>
          <w:b/>
        </w:rPr>
        <w:t>Tal como está en la fuente:</w:t>
      </w:r>
      <w:r>
        <w:t xml:space="preserve"> La posible responsabilidad penal de los ejercicios 2008 a 2011 estaría extinguida por la prescripción del delito. No así la correspondiente al ejercicio de 2012 que, … hasta el 19 de junio de 2014 S.M. D. Juan Carlos de Borbón estaba protegido por la inviolabilidad que el artículo 56.3 de la Constitución española reconoce al Jefe del Estado</w:t>
      </w:r>
      <w:r>
        <w:t>; en 2025, el Supremo inadmitió una querella con el mismo límite</w:t>
      </w:r>
      <w:r>
        <w:t xml:space="preserve"> (auto del Tribunal Supremo de 24-4-2025)</w:t>
      </w:r>
      <w:r>
        <w:t xml:space="preserve">. Ningún tribunal ha examinado nada anterior a esa fecha. </w:t>
      </w:r>
      <w:r>
        <w:t>[15.00-7.1 a 7.3]</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r>
        <w:t>[15.00-8.1 a 8.3]</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br/>
      </w:r>
      <w:r>
        <w:rPr>
          <w:b/>
        </w:rPr>
        <w:t>leída en su fuente · TEDH, Stern Taulats y Roura Capellera c. España, 13-3-2018, traducción del Ministerio de J</w:t>
      </w:r>
      <w:r>
        <w:br/>
      </w:r>
      <w:r>
        <w:rPr>
          <w:b/>
        </w:rPr>
        <w:t>Archivo leído:</w:t>
      </w:r>
      <w:r>
        <w:t xml:space="preserve"> 15.00_TEDH_Stern_Taulats_Roura_Capellera_c_Espana_13-03-2018_traduccion_BMJ_MJusticia.pdf (c7a\15.00_TEDH_Stern_Taulats_Roura_Capellera_c_Espana_13-03-2018_traduccion_BMJ_MJusticia.pdf) · contraste del archivo de pasajes: ✔</w:t>
      </w:r>
      <w:r>
        <w:br/>
      </w:r>
      <w:r>
        <w:rPr>
          <w:b/>
        </w:rPr>
        <w:t>Lugar:</w:t>
      </w:r>
      <w:r>
        <w:t xml:space="preserve"> § 36 (p. 9)</w:t>
      </w:r>
      <w:r>
        <w:br/>
      </w:r>
      <w:r>
        <w:rPr>
          <w:b/>
        </w:rPr>
        <w:t>Dirección:</w:t>
      </w:r>
      <w:r>
        <w:t xml:space="preserve"> </w:t>
      </w:r>
      <w:r>
        <w:t>https://revistas.mjusticia.gob.es/index.php/BMJ/article/download/6173/6111/5994</w:t>
      </w:r>
      <w:r>
        <w:br/>
      </w:r>
      <w:r>
        <w:rPr>
          <w:b/>
        </w:rPr>
        <w:t>Tal como está en la fuente:</w:t>
      </w:r>
      <w:r>
        <w:t xml:space="preserve"> no se trataba de un ataque personal dirigido contra el rey de España, que tuviera como objeto menospreciar y vilipendiar a la persona de este último, sino de una crítica a lo que el Rey representa, como Jefe y símbolo del aparato estatal y de las fuerzas que [...]</w:t>
      </w:r>
      <w:r>
        <w:t xml:space="preserve">. </w:t>
      </w:r>
      <w:r>
        <w:t>[15.00-9.1 a 9.3]</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br/>
      </w:r>
      <w:r>
        <w:rPr>
          <w:b/>
        </w:rPr>
        <w:t>leída en su fuente · STC 148/2021</w:t>
      </w:r>
      <w:r>
        <w:br/>
      </w:r>
      <w:r>
        <w:rPr>
          <w:b/>
        </w:rPr>
        <w:t>Archivo leído:</w:t>
      </w:r>
      <w:r>
        <w:t xml:space="preserve"> 15.00_BOE-A-2021-13032_STC_148-2021.html (c7a\15.00_BOE-A-2021-13032_STC_148-2021.html) · contraste del archivo de pasajes: ✔</w:t>
      </w:r>
      <w:r>
        <w:br/>
      </w:r>
      <w:r>
        <w:rPr>
          <w:b/>
        </w:rPr>
        <w:t>Lugar:</w:t>
      </w:r>
      <w:r>
        <w:t xml:space="preserve"> FJ 5, citando la STC 83/2016, FJ 8</w:t>
      </w:r>
      <w:r>
        <w:br/>
      </w:r>
      <w:r>
        <w:rPr>
          <w:b/>
        </w:rPr>
        <w:t>Dirección:</w:t>
      </w:r>
      <w:r>
        <w:t xml:space="preserve"> </w:t>
      </w:r>
      <w:r>
        <w:t>https://www.boe.es/buscar/doc.php?id=BOE-A-2021-13032</w:t>
      </w:r>
      <w:r>
        <w:br/>
      </w:r>
      <w:r>
        <w:rPr>
          <w:b/>
        </w:rPr>
        <w:t>Tal como está en la fuente:</w:t>
      </w:r>
      <w:r>
        <w:t xml:space="preserve"> una norma que prohíbe circular a todas las personas, por cualquier sitio y en cualquier momento [...] supone un vaciamiento de hecho o, si se quiere, una suspensión del derecho, proscritos como se ha reiterado ya en el estado de alarma</w:t>
      </w:r>
      <w:r>
        <w:t>. Del segundo estado de alarma anuló, entre otros, la delegación en las autoridades autonómicas</w:t>
      </w:r>
      <w:r>
        <w:t xml:space="preserve"> (STC 183/2021)</w:t>
      </w:r>
      <w:r>
        <w:t xml:space="preserve">. </w:t>
      </w:r>
      <w:r>
        <w:t>[15.00-10.1 a 10.3]</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r>
        <w:t>[15.00-11.1 a 11.3]</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br/>
      </w:r>
      <w:r>
        <w:rPr>
          <w:b/>
        </w:rPr>
        <w:t>pasaje guardado</w:t>
      </w:r>
      <w:r>
        <w:br/>
      </w:r>
      <w:r>
        <w:rPr>
          <w:b/>
        </w:rPr>
        <w:t>Archivo leído:</w:t>
      </w:r>
      <w:r>
        <w:t xml:space="preserve"> …pdf.txt) (c5\tcu_declaracion_cge2024_n1677.pdf) · contraste del archivo de pasajes: ✔</w:t>
      </w:r>
      <w:r>
        <w:br/>
      </w:r>
      <w:r>
        <w:rPr>
          <w:b/>
        </w:rPr>
        <w:t>Lugar:</w:t>
      </w:r>
      <w:r>
        <w:t xml:space="preserve"> (a) PDF 51</w:t>
      </w:r>
      <w:r>
        <w:br/>
      </w:r>
      <w:r>
        <w:rPr>
          <w:b/>
        </w:rPr>
        <w:t>Tal como está en la fuente:</w:t>
      </w:r>
      <w:r>
        <w:t xml:space="preserve"> 2.4. El resultado presupuestario consolidado está sobrevalorado en 4.090,3 millones de euros</w:t>
      </w:r>
      <w:r>
        <w:t xml:space="preserve">. </w:t>
      </w:r>
      <w:r>
        <w:t>[15.00-12.1 a 12.3]</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br/>
      </w:r>
      <w:r>
        <w:rPr>
          <w:b/>
        </w:rPr>
        <w:t>leída en su fuente · Constitución, art. 138.2</w:t>
      </w:r>
      <w:r>
        <w:br/>
      </w:r>
      <w:r>
        <w:rPr>
          <w:b/>
        </w:rPr>
        <w:t>Archivo leído:</w:t>
      </w:r>
      <w:r>
        <w:t xml:space="preserve"> ce.html (ant\c1\ce.html) · contraste del archivo de pasajes: ✔</w:t>
      </w:r>
      <w:r>
        <w:br/>
      </w:r>
      <w:r>
        <w:rPr>
          <w:b/>
        </w:rPr>
        <w:t>Lugar:</w:t>
      </w:r>
      <w:r>
        <w:t xml:space="preserve"> Constitución, art. 138.2</w:t>
      </w:r>
      <w:r>
        <w:br/>
      </w:r>
      <w:r>
        <w:rPr>
          <w:b/>
        </w:rPr>
        <w:t>Tal como está en la fuente:</w:t>
      </w:r>
      <w:r>
        <w:t xml:space="preserve"> Las diferencias entre los Estatutos de las distintas Comunidades Autónomas no podrán implicar, en ningún caso, privilegios económicos o sociales</w:t>
      </w:r>
      <w:r>
        <w:t>. La ley de financiación regula solo las comunidades «de régimen común»</w:t>
      </w:r>
      <w:r>
        <w:t xml:space="preserve"> (Ley 22/2009, art. 1)</w:t>
      </w:r>
      <w:r>
        <w:t xml:space="preserve">; el País Vasco y Navarra tienen su Concierto y su Convenio (Leyes 12/2002 y 28/1990). </w:t>
      </w:r>
      <w:r>
        <w:t>[15.00-13.1 a 13.3]</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br/>
      </w:r>
      <w:r>
        <w:rPr>
          <w:b/>
        </w:rPr>
        <w:t>leída en su fuente · Consejo de la Juventud de España, Observatorio de Emancipación, 2025</w:t>
      </w:r>
      <w:r>
        <w:br/>
      </w:r>
      <w:r>
        <w:rPr>
          <w:b/>
        </w:rPr>
        <w:t>Archivo leído:</w:t>
      </w:r>
      <w:r>
        <w:t xml:space="preserve"> 15.00_CJE_Observatorio_Emancipacion_2025_balance_general.pdf (c7b\15.00_CJE_Observatorio_Emancipacion_2025_balance_general.pdf) · contraste del archivo de pasajes: ✔</w:t>
      </w:r>
      <w:r>
        <w:br/>
      </w:r>
      <w:r>
        <w:rPr>
          <w:b/>
        </w:rPr>
        <w:t>Lugar:</w:t>
      </w:r>
      <w:r>
        <w:t xml:space="preserve"> Consejo de la Juventud de España, Observatorio de Emancipación, 2025</w:t>
      </w:r>
      <w:r>
        <w:br/>
      </w:r>
      <w:r>
        <w:rPr>
          <w:b/>
        </w:rPr>
        <w:t>Tal como está en la fuente:</w:t>
      </w:r>
      <w:r>
        <w:t xml:space="preserve"> el 98,7 % del salario de una persona joven</w:t>
      </w:r>
      <w:r>
        <w:t xml:space="preserve">. </w:t>
      </w:r>
      <w:r>
        <w:t>[15.00-14.1 a 14.3]</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br/>
      </w:r>
      <w:r>
        <w:rPr>
          <w:b/>
        </w:rPr>
        <w:t>leída en su fuente · La Moncloa, nota de 18-1-2024</w:t>
      </w:r>
      <w:r>
        <w:br/>
      </w:r>
      <w:r>
        <w:rPr>
          <w:b/>
        </w:rPr>
        <w:t>Archivo leído:</w:t>
      </w:r>
      <w:r>
        <w:t xml:space="preserve"> 15.00_LaMoncloa_nota_2024-01-18_Congreso_aprueba_reforma_art49.html (c7b\15.00_LaMoncloa_nota_2024-01-18_Congreso_aprueba_reforma_art49.html) · contraste del archivo de pasajes: ✔</w:t>
      </w:r>
      <w:r>
        <w:br/>
      </w:r>
      <w:r>
        <w:rPr>
          <w:b/>
        </w:rPr>
        <w:t>Dirección:</w:t>
      </w:r>
      <w:r>
        <w:t xml:space="preserve"> </w:t>
      </w:r>
      <w:r>
        <w:t>https://www.lamoncloa.gob.es/serviciosdeprensa/notasprensa/presidencia-justicia-relaciones-cortes/Paginas/2024/180124-congreso-aprobada-reforma-constitucion.aspx</w:t>
      </w:r>
      <w:r>
        <w:br/>
      </w:r>
      <w:r>
        <w:rPr>
          <w:b/>
        </w:rPr>
        <w:t>Tal como está en la fuente:</w:t>
      </w:r>
      <w:r>
        <w:t xml:space="preserve"> Esta modificación es la tercera desde la entrada en vigor de la Constitución, pero la primera de contenido social.</w:t>
      </w:r>
      <w:r>
        <w:t xml:space="preserve">. </w:t>
      </w:r>
      <w:r>
        <w:t>[15.00-15.1 a 15.3]</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r>
        <w:t>[15.00-16.1 a 16.3]</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 </w:t>
      </w:r>
      <w:r>
        <w:t>[15.00-18.1 y 18.2]</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xml:space="preserve">. No hace falta un monstruo diseñado en la sombra: basta con que cada pieza, una a una, parezca razonable, y con que nadie, en ninguna sala, se siente a mirarlas todas juntas. </w:t>
      </w:r>
      <w:r>
        <w:t>[15.00-18.3 y 18.4]</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br/>
      </w:r>
      <w:r>
        <w:rPr>
          <w:b/>
        </w:rPr>
        <w:t>leída en su fuente · Constitución, art. 21.1</w:t>
      </w:r>
      <w:r>
        <w:br/>
      </w:r>
      <w:r>
        <w:rPr>
          <w:b/>
        </w:rPr>
        <w:t>Archivo leído:</w:t>
      </w:r>
      <w:r>
        <w:t xml:space="preserve"> ce.html (ant\c1\ce.html) · contraste del archivo de pasajes: ✔</w:t>
      </w:r>
      <w:r>
        <w:br/>
      </w:r>
      <w:r>
        <w:rPr>
          <w:b/>
        </w:rPr>
        <w:t>Lugar:</w:t>
      </w:r>
      <w:r>
        <w:t xml:space="preserve"> Constitución, art. 21.1</w:t>
      </w:r>
      <w:r>
        <w:br/>
      </w:r>
      <w:r>
        <w:rPr>
          <w:b/>
        </w:rPr>
        <w:t>Tal como está en la fuente:</w:t>
      </w:r>
      <w:r>
        <w:t xml:space="preserve"> Se reconoce el derecho de reunión pacífica y sin armas</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br/>
      </w:r>
      <w:r>
        <w:rPr>
          <w:b/>
        </w:rPr>
        <w:t>leída en su fuente · Ley Orgánica 4/2015, arts. 36.2 y 39.1</w:t>
      </w:r>
      <w:r>
        <w:br/>
      </w:r>
      <w:r>
        <w:rPr>
          <w:b/>
        </w:rPr>
        <w:t>Archivo leído:</w:t>
      </w:r>
      <w:r>
        <w:t xml:space="preserve"> 16.00_BOE-A-2015-3442_LO_4-2015_seguridad_ciudadana_consolidada.html; 16.00_STC_172-2020_HJ.html (c7a\16.00_BOE-A-2015-3442_LO_4-2015_seguridad_ciudadana_consolidada.html; c7a\16.00_STC_172-2020_HJ.html) · contraste del archivo de pasajes: ✔</w:t>
      </w:r>
      <w:r>
        <w:br/>
      </w:r>
      <w:r>
        <w:rPr>
          <w:b/>
        </w:rPr>
        <w:t>Lugar:</w:t>
      </w:r>
      <w:r>
        <w:t xml:space="preserve"> Art. 36.2</w:t>
      </w:r>
      <w:r>
        <w:br/>
      </w:r>
      <w:r>
        <w:rPr>
          <w:b/>
        </w:rPr>
        <w:t>Dirección:</w:t>
      </w:r>
      <w:r>
        <w:t xml:space="preserve"> </w:t>
      </w:r>
      <w:r>
        <w:t>https://www.boe.es/buscar/act.php?id=BOE-A-2015-3442</w:t>
      </w:r>
      <w:r>
        <w:t xml:space="preserve"> ; </w:t>
      </w:r>
      <w:r>
        <w:t>https://hj.tribunalconstitucional.es/es/Resolucion/Show/26498</w:t>
      </w:r>
      <w:r>
        <w:br/>
      </w:r>
      <w:r>
        <w:rPr>
          <w:b/>
        </w:rPr>
        <w:t>Tal como está en la fuente:</w:t>
      </w:r>
      <w:r>
        <w:t xml:space="preserve"> La perturbación grave de la seguridad ciudadana que se produzca con ocasión de reuniones o manifestaciones frente a las sedes del Congreso [...] aunque no estuvieran reunidas, cuando no constituya infracción penal.</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r>
        <w:t>[16.00-2.1 a 2.3; corregido al leer la ley]</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br/>
      </w:r>
      <w:r>
        <w:rPr>
          <w:b/>
        </w:rPr>
        <w:t>leída en su fuente · Ley Orgánica 8/2013</w:t>
      </w:r>
      <w:r>
        <w:br/>
      </w:r>
      <w:r>
        <w:rPr>
          <w:b/>
        </w:rPr>
        <w:t>Archivo leído:</w:t>
      </w:r>
      <w:r>
        <w:t xml:space="preserve"> 16.00_BOE-A-2020-17264_LO_3-2020_LOMLOE_original.html; 16.00_BOE-A-2013-12886_LO_8-2013_LOMCE_original.html; 16.00_STC_49-2023_LOMLOE_rec1828-2021_PP_HJ.html; 16.00_STC_34-2023_LOMLOE_rec1760-2021_Vox_HJ.html (c7a\16.00_BOE-A-2013-12886_LO_8-2013_LOMCE_original.html; c7a\16.00_STC_49-2023_LOMLOE_rec1828-2021_PP_HJ.html) · contraste del archivo de pasajes: ✔</w:t>
      </w:r>
      <w:r>
        <w:br/>
      </w:r>
      <w:r>
        <w:rPr>
          <w:b/>
        </w:rPr>
        <w:t>Lugar:</w:t>
      </w:r>
      <w:r>
        <w:t xml:space="preserve"> LOMCE, DA 38.ª.1</w:t>
      </w:r>
      <w:r>
        <w:br/>
      </w:r>
      <w:r>
        <w:rPr>
          <w:b/>
        </w:rPr>
        <w:t>Dirección:</w:t>
      </w:r>
      <w:r>
        <w:t xml:space="preserve"> </w:t>
      </w:r>
      <w:r>
        <w:t>https://www.boe.es/buscar/doc.php?id=BOE-A-2020-17264</w:t>
      </w:r>
      <w:r>
        <w:t xml:space="preserve"> ; </w:t>
      </w:r>
      <w:r>
        <w:t>https://www.boe.es/buscar/doc.php?id=BOE-A-2013-12886</w:t>
      </w:r>
      <w:r>
        <w:t xml:space="preserve"> ; </w:t>
      </w:r>
      <w:r>
        <w:t>https://hj.tribunalconstitucional.es/es/Resolucion/Show/29440</w:t>
      </w:r>
      <w:r>
        <w:t xml:space="preserve"> ; </w:t>
      </w:r>
      <w:r>
        <w:t>…/Show/29394</w:t>
      </w:r>
      <w:r>
        <w:br/>
      </w:r>
      <w:r>
        <w:rPr>
          <w:b/>
        </w:rPr>
        <w:t>Tal como está en la fuente:</w:t>
      </w:r>
      <w:r>
        <w:t xml:space="preserve"> El castellano es lengua vehicular de la enseñanza en todo el Estado</w:t>
      </w:r>
      <w:r>
        <w:t>; la de 2020 suprimió esa frase</w:t>
      </w:r>
      <w:r>
        <w:t xml:space="preserve"> (Ley Orgánica 3/2020)</w:t>
      </w:r>
      <w:r>
        <w:t>, y el Constitucional desestimó el recurso contra ella</w:t>
      </w:r>
      <w:r>
        <w:t xml:space="preserve"> (STC 49/2023)</w:t>
      </w:r>
      <w:r>
        <w:t xml:space="preserve">. </w:t>
      </w:r>
      <w:r>
        <w:t>[16.00-3.1 a 3.3]</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r>
        <w:t>[16.00-4.1 a 4.3; la sentencia y el auto, leídos en su original el 6-oct]</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br/>
      </w:r>
      <w:r>
        <w:rPr>
          <w:b/>
        </w:rPr>
        <w:t>leída en su fuente · STC 198/2012, FJ 9</w:t>
      </w:r>
      <w:r>
        <w:br/>
      </w:r>
      <w:r>
        <w:rPr>
          <w:b/>
        </w:rPr>
        <w:t>Archivo leído:</w:t>
      </w:r>
      <w:r>
        <w:t xml:space="preserve"> 16.00_BOE-A-2012-14602_STC_198-2012.html (c7a\16.00_BOE-A-2012-14602_STC_198-2012.html) · contraste del archivo de pasajes: ✔</w:t>
      </w:r>
      <w:r>
        <w:br/>
      </w:r>
      <w:r>
        <w:rPr>
          <w:b/>
        </w:rPr>
        <w:t>Lugar:</w:t>
      </w:r>
      <w:r>
        <w:t xml:space="preserve"> La frase está en los antecedentes (antecedente 1, alegaciones de los recurrentes)</w:t>
      </w:r>
      <w:r>
        <w:br/>
      </w:r>
      <w:r>
        <w:rPr>
          <w:b/>
        </w:rPr>
        <w:t>Dirección:</w:t>
      </w:r>
      <w:r>
        <w:t xml:space="preserve"> </w:t>
      </w:r>
      <w:r>
        <w:t>https://www.boe.es/buscar/doc.php?id=BOE-A-2012-14602</w:t>
      </w:r>
      <w:r>
        <w:br/>
      </w:r>
      <w:r>
        <w:rPr>
          <w:b/>
        </w:rPr>
        <w:t>Tal como está en la fuente:</w:t>
      </w:r>
      <w:r>
        <w:t xml:space="preserve"> no cabe realizar reproche de inconstitucionalidad a la opción escogida por el legislador en este caso, dentro del margen de apreciación que la Constitución le reconoce, porque es una opción no excluida por el constituyente</w:t>
      </w:r>
      <w:r>
        <w:t xml:space="preserve">. Pasaron siete años entre el recurso y la sentencia. </w:t>
      </w:r>
      <w:r>
        <w:t>[16.00-5.1 a 5.3]</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br/>
      </w:r>
      <w:r>
        <w:rPr>
          <w:b/>
        </w:rPr>
        <w:t>leída en su fuente · STC 169/2021, FJ 4</w:t>
      </w:r>
      <w:r>
        <w:br/>
      </w:r>
      <w:r>
        <w:rPr>
          <w:b/>
        </w:rPr>
        <w:t>Archivo leído:</w:t>
      </w:r>
      <w:r>
        <w:t xml:space="preserve"> 16.00_STC_169-2021_HJ.html; 16.00_TEDH_Kafkaris_c_Chypre_GC_12-02-2008_texto_frances_copia_Dalloz.pdf (c7a\16.00_STC_169-2021_HJ.html) · contraste del archivo de pasajes: ✔</w:t>
      </w:r>
      <w:r>
        <w:br/>
      </w:r>
      <w:r>
        <w:rPr>
          <w:b/>
        </w:rPr>
        <w:t>Lugar:</w:t>
      </w:r>
      <w:r>
        <w:t xml:space="preserve"> STC, FJ 4</w:t>
      </w:r>
      <w:r>
        <w:br/>
      </w:r>
      <w:r>
        <w:rPr>
          <w:b/>
        </w:rPr>
        <w:t>Dirección:</w:t>
      </w:r>
      <w:r>
        <w:t xml:space="preserve"> </w:t>
      </w:r>
      <w:r>
        <w:t>https://hj.tribunalconstitucional.es/es/Resolucion/Show/26820</w:t>
      </w:r>
      <w:r>
        <w:t xml:space="preserve"> ; </w:t>
      </w:r>
      <w:r>
        <w:t>https://actu.dalloz-etudiant.fr/fileadmin/actualites/pdfs/NOVEMBRE_2013/AFFAIRE_KAFKARIS_c._CHYPRE.pdf</w:t>
      </w:r>
      <w:r>
        <w:br/>
      </w:r>
      <w:r>
        <w:rPr>
          <w:b/>
        </w:rPr>
        <w:t>Tal como está en la fuente:</w:t>
      </w:r>
      <w:r>
        <w:t xml:space="preserve"> Adaptada esta doctrina a nuestra realidad jurídica, el test de humanidad exige comprobar [...] (ii) debe ofrecer al interno una expectativa o esperanza realista, no meramente teórica, de alcanzar algún día la libertad</w:t>
      </w:r>
      <w:r>
        <w:t>, adaptando la doctrina europea de la pena «reducible de derecho y de hecho»</w:t>
      </w:r>
      <w:r>
        <w:t xml:space="preserve"> [original: «de jure et de facto compressible»]</w:t>
      </w:r>
      <w:r>
        <w:t xml:space="preserve"> (TEDH, Kafkaris c. Chipre, 2008)</w:t>
      </w:r>
      <w:r>
        <w:br/>
      </w:r>
      <w:r>
        <w:rPr>
          <w:b/>
        </w:rPr>
        <w:t>leída en su fuente · TEDH, Kafkaris c. Chipre, 2008</w:t>
      </w:r>
      <w:r>
        <w:br/>
      </w:r>
      <w:r>
        <w:rPr>
          <w:b/>
        </w:rPr>
        <w:t>Archivo leído:</w:t>
      </w:r>
      <w:r>
        <w:t xml:space="preserve"> 16.00_STC_169-2021_HJ.html; 16.00_TEDH_Kafkaris_c_Chypre_GC_12-02-2008_texto_frances_copia_Dalloz.pdf (c5_grandes\diccionariodelal0000unse_q9u2.txt) · contraste del archivo de pasajes: ✔</w:t>
      </w:r>
      <w:r>
        <w:br/>
      </w:r>
      <w:r>
        <w:rPr>
          <w:b/>
        </w:rPr>
        <w:t>Lugar:</w:t>
      </w:r>
      <w:r>
        <w:t xml:space="preserve"> STC, FJ 4</w:t>
      </w:r>
      <w:r>
        <w:br/>
      </w:r>
      <w:r>
        <w:rPr>
          <w:b/>
        </w:rPr>
        <w:t>Dirección:</w:t>
      </w:r>
      <w:r>
        <w:t xml:space="preserve"> </w:t>
      </w:r>
      <w:r>
        <w:t>https://hj.tribunalconstitucional.es/es/Resolucion/Show/26820</w:t>
      </w:r>
      <w:r>
        <w:t xml:space="preserve"> ; </w:t>
      </w:r>
      <w:r>
        <w:t>https://actu.dalloz-etudiant.fr/fileadmin/actualites/pdfs/NOVEMBRE_2013/AFFAIRE_KAFKARIS_c._CHYPRE.pdf</w:t>
      </w:r>
      <w:r>
        <w:br/>
      </w:r>
      <w:r>
        <w:rPr>
          <w:b/>
        </w:rPr>
        <w:t>Tal como está en la fuente:</w:t>
      </w:r>
      <w:r>
        <w:t xml:space="preserve"> reducible de derecho y de hecho</w:t>
      </w:r>
      <w:r>
        <w:t>. Un estudio de 2023 se tituló «constitucionalidad declarada, inconstitucionalidad manifiesta»</w:t>
      </w:r>
      <w:r>
        <w:t xml:space="preserve"> (Gómez Garrido, Revista Jurídica de la Universidad Autónoma de Madrid, n.º 48, 2023; por el título)</w:t>
      </w:r>
      <w:r>
        <w:br/>
      </w:r>
      <w:r>
        <w:rPr>
          <w:b/>
        </w:rPr>
        <w:t>leída en su fuente · Gómez Garrido, Revista Jurídica de la Universidad Autónoma de Madrid, n.º 48, 2023; por el</w:t>
      </w:r>
      <w:r>
        <w:br/>
      </w:r>
      <w:r>
        <w:rPr>
          <w:b/>
        </w:rPr>
        <w:t>Archivo leído:</w:t>
      </w:r>
      <w:r>
        <w:t xml:space="preserve"> 16.00_Dialnet_ficha_RJUAM48_2023_Gomez_Garrido_PPR.html (c7b\16.00_Dialnet_ficha_RJUAM48_2023_Gomez_Garrido_PPR.html) · contraste del archivo de pasajes: ✔</w:t>
      </w:r>
      <w:r>
        <w:br/>
      </w:r>
      <w:r>
        <w:rPr>
          <w:b/>
        </w:rPr>
        <w:t>Lugar:</w:t>
      </w:r>
      <w:r>
        <w:t xml:space="preserve"> Título y localización</w:t>
      </w:r>
      <w:r>
        <w:br/>
      </w:r>
      <w:r>
        <w:rPr>
          <w:b/>
        </w:rPr>
        <w:t>Dirección:</w:t>
      </w:r>
      <w:r>
        <w:t xml:space="preserve"> </w:t>
      </w:r>
      <w:r>
        <w:t>https://dialnet.unirioja.es/servlet/articulo?codigo=9249353</w:t>
      </w:r>
      <w:r>
        <w:t xml:space="preserve"> (texto completo en </w:t>
      </w:r>
      <w:r>
        <w:t>https://revistas.uam.es/revistajuridica/article/view/18619</w:t>
      </w:r>
      <w:r>
        <w:t>)</w:t>
      </w:r>
      <w:r>
        <w:br/>
      </w:r>
      <w:r>
        <w:rPr>
          <w:b/>
        </w:rPr>
        <w:t>Tal como está en la fuente:</w:t>
      </w:r>
      <w:r>
        <w:t xml:space="preserve"> Prisión permanente revisable: constitucionalidad declarada, inconstitucionalidad manifiesta … Celia Gómez Garrido … Revista jurídica Universidad Autónoma de Madrid, ISSN 1575-720X, Nº. 48, 2023, págs. 87-104</w:t>
      </w:r>
      <w:r>
        <w:t xml:space="preserve">. </w:t>
      </w:r>
      <w:r>
        <w:t>[16.00-6.1 a 6.3]</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r>
        <w:t>[16.00-7.1 a 7.3]</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r>
        <w:t>[16.00-8.1 a 8.3]</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[original: «as a parallel avenue for fraudulent funding»]</w:t>
      </w:r>
      <w:r>
        <w:t xml:space="preserve"> (segunda adenda, 2016)</w:t>
      </w:r>
      <w:r>
        <w:br/>
      </w:r>
      <w:r>
        <w:rPr>
          <w:b/>
        </w:rPr>
        <w:t>leída en su fuente · segunda adenda, 2016</w:t>
      </w:r>
      <w:r>
        <w:br/>
      </w:r>
      <w:r>
        <w:rPr>
          <w:b/>
        </w:rPr>
        <w:t>Archivo leído:</w:t>
      </w:r>
      <w:r>
        <w:t xml:space="preserve"> 16.00_GRECO_RC-III_2015_16E_2a_adenda_2o_informe_cumplimiento_Espana_2016.pdf (c7b\16.00_GRECO_RC-III_2015_16E_2a_adenda_2o_informe_cumplimiento_Espana_2016.pdf) · contraste del archivo de pasajes: ✔</w:t>
      </w:r>
      <w:r>
        <w:br/>
      </w:r>
      <w:r>
        <w:rPr>
          <w:b/>
        </w:rPr>
        <w:t>Lugar:</w:t>
      </w:r>
      <w:r>
        <w:t xml:space="preserve"> PDF 12, párr. 62</w:t>
      </w:r>
      <w:r>
        <w:br/>
      </w:r>
      <w:r>
        <w:rPr>
          <w:b/>
        </w:rPr>
        <w:t>Dirección:</w:t>
      </w:r>
      <w:r>
        <w:t xml:space="preserve"> </w:t>
      </w:r>
      <w:r>
        <w:t>https://rm.coe.int/16806cac21</w:t>
      </w:r>
      <w:r>
        <w:br/>
      </w:r>
      <w:r>
        <w:rPr>
          <w:b/>
        </w:rPr>
        <w:t>Tal como está en la fuente:</w:t>
      </w:r>
      <w:r>
        <w:t xml:space="preserve"> it must be ensured that political foundations and associations are not used as a parallel avenue for fraudulent funding of routine and campaign activities of political parties in spite of the applicable restrictions and thresholds set by law for the latter.</w:t>
      </w:r>
      <w:r>
        <w:br/>
      </w:r>
      <w:r>
        <w:rPr>
          <w:b/>
        </w:rPr>
        <w:t>Traducción guardada:</w:t>
      </w:r>
      <w:r>
        <w:t xml:space="preserve"> debe garantizarse que las fundaciones y asociaciones políticas no se utilicen como vía paralela para la financiación fraudulenta de las actividades ordinarias y de campaña de los partidos, a pesar de las restricciones y umbrales que la ley fija para estos.</w:t>
      </w:r>
      <w:r>
        <w:t xml:space="preserve">. </w:t>
      </w:r>
      <w:r>
        <w:t>[16.00-9.1 a 9.3]</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br/>
      </w:r>
      <w:r>
        <w:rPr>
          <w:b/>
        </w:rPr>
        <w:t>leída en su fuente · Ley Orgánica 3/1981, art. 30</w:t>
      </w:r>
      <w:r>
        <w:br/>
      </w:r>
      <w:r>
        <w:rPr>
          <w:b/>
        </w:rPr>
        <w:t>Archivo leído:</w:t>
      </w:r>
      <w:r>
        <w:t xml:space="preserve"> 16.00_BOE-A-1981-10325_LO_3-1981_Defensor_del_Pueblo_consolidada.html (c7a\16.00_BOE-A-1981-10325_LO_3-1981_Defensor_del_Pueblo_consolidada.html) · contraste del archivo de pasajes: ✔</w:t>
      </w:r>
      <w:r>
        <w:br/>
      </w:r>
      <w:r>
        <w:rPr>
          <w:b/>
        </w:rPr>
        <w:t>Lugar:</w:t>
      </w:r>
      <w:r>
        <w:t xml:space="preserve"> Art. 30.1</w:t>
      </w:r>
      <w:r>
        <w:br/>
      </w:r>
      <w:r>
        <w:rPr>
          <w:b/>
        </w:rPr>
        <w:t>Dirección:</w:t>
      </w:r>
      <w:r>
        <w:t xml:space="preserve"> </w:t>
      </w:r>
      <w:r>
        <w:t>https://www.boe.es/buscar/act.php?id=BOE-A-1981-10325</w:t>
      </w:r>
      <w:r>
        <w:br/>
      </w:r>
      <w:r>
        <w:rPr>
          <w:b/>
        </w:rPr>
        <w:t>Tal como está en la fuente:</w:t>
      </w:r>
      <w:r>
        <w:t xml:space="preserve"> podrá poner en conocimiento del Ministro del Departamento afectado, o sobre la máxima autoridad de la Administración afectada [...] Si tampoco obtuviera una justificación adecuada, incluirá tal asunto en su informe anual o especial con mención de los nombres de las autoridades o funcionarios</w:t>
      </w:r>
      <w:r>
        <w:t xml:space="preserve">. No tiene otra sanción. </w:t>
      </w:r>
      <w:r>
        <w:t>[16.00-10.1 a 10.3]</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r>
        <w:t>[16.00-11.1 a 11.3]</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br/>
      </w:r>
      <w:r>
        <w:rPr>
          <w:b/>
        </w:rPr>
        <w:t>leída en su fuente · Consejo de Estado, informe sobre modificaciones de la Constitución, 16-2-2006</w:t>
      </w:r>
      <w:r>
        <w:br/>
      </w:r>
      <w:r>
        <w:rPr>
          <w:b/>
        </w:rPr>
        <w:t>Archivo leído:</w:t>
      </w:r>
      <w:r>
        <w:t xml:space="preserve"> 16.00_Consejo_de_Estado_Informe_modificaciones_Constitucion_16-02-2006.pdf (c7a\16.00_Consejo_de_Estado_Informe_modificaciones_Constitucion_16-02-2006.pdf) · contraste del archivo de pasajes: ✔</w:t>
      </w:r>
      <w:r>
        <w:br/>
      </w:r>
      <w:r>
        <w:rPr>
          <w:b/>
        </w:rPr>
        <w:t>Lugar:</w:t>
      </w:r>
      <w:r>
        <w:t xml:space="preserve"> P. 32 (PDF p. 33)</w:t>
      </w:r>
      <w:r>
        <w:br/>
      </w:r>
      <w:r>
        <w:rPr>
          <w:b/>
        </w:rPr>
        <w:t>Dirección:</w:t>
      </w:r>
      <w:r>
        <w:t xml:space="preserve"> </w:t>
      </w:r>
      <w:r>
        <w:t>https://www.consejo-estado.es/wp-content/uploads/2021/02/MODIFICACIONES-CONSTITUCION-ESP-1.pdf</w:t>
      </w:r>
      <w:r>
        <w:br/>
      </w:r>
      <w:r>
        <w:rPr>
          <w:b/>
        </w:rPr>
        <w:t>Tal como está en la fuente:</w:t>
      </w:r>
      <w:r>
        <w:t xml:space="preserve"> Los dos preceptos, el artículo 14 y el artículo 57.1, tienen ámbitos de aplicación distintos en el texto constitucional y no se interfieren mutuamente. La conveniencia de reformar el segundo no se deriva [...] de ninguna contradicción jurídica con el primero, sino del progresivo deterioro que ha sufrido en la conciencia social todo tipo de postergación femenina.</w:t>
      </w:r>
      <w:r>
        <w:t xml:space="preserve">. No se ha reformado. </w:t>
      </w:r>
      <w:r>
        <w:t>[16.00-12.1 a 12.3]</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 </w:t>
      </w:r>
      <w:r>
        <w:t>[16.00-14.2]</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 </w:t>
      </w:r>
      <w:r>
        <w:t>[16.00-14.1 y 14.3]</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 xml:space="preserve">Cada artículo cuenta una vez: 66 + 103 = 169. </w:t>
      </w:r>
      <w:r>
        <w:t>[18.00-1.1 a 2.4]</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 </w:t>
      </w:r>
      <w:r>
        <w:t>[18.00-2.5]</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t>[18.00-3.1, 4.1 y 5.1 a 5.2; anexo A; con el art. 21 reclasificado y los arts. 7, 110 y 111 pasados a pendiente]</w:t>
      </w:r>
    </w:p>
    <w:p>
      <w:r>
        <w:rPr>
          <w:b/>
        </w:rPr>
        <w:t>El freno.</w:t>
      </w:r>
      <w:r>
        <w:t xml:space="preserve"> Montesquieu propuso un mecanismo, «que el poder frene al poder» (</w:t>
      </w:r>
      <w:r>
        <w:t>6.5</w:t>
      </w:r>
      <w:r>
        <w:t xml:space="preserve">),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 </w:t>
      </w:r>
      <w:r>
        <w:t>[10.00-16.1 a 16.3 y 16.6; 18.00-8.4]</w:t>
      </w:r>
    </w:p>
    <w:p>
      <w:r>
        <w:rPr>
          <w:b/>
        </w:rPr>
        <w:t>La amenaza acumulada.</w:t>
      </w:r>
      <w:r>
        <w:t xml:space="preserve"> Sumando lo incumplido y lo frenado, el 65,2 % de los artículos del bien común ha estado alguna vez bajo una amenaza real, frente al 36,9 % de los del organigrama. Mide la fragilidad, no el desenlace: el intento frenado es, a la vez, prueba de amenaza y prueba de que los tribunales respondieron. </w:t>
      </w:r>
      <w:r>
        <w:t>[18.00-6.1 y 6.2]</w:t>
      </w:r>
    </w:p>
    <w:p>
      <w:r>
        <w:rPr>
          <w:b/>
        </w:rPr>
        <w:t>Los intentos frenados.</w:t>
      </w:r>
      <w:r>
        <w:t xml:space="preserve"> En el bien común: las leyes catalanas de consultas y de autodeterminación (art. 1) y disposiciones de la reforma local de 2013 (art. 140). En el organigrama, entre otros: las leyes catalanas de 2017 (art. 2); tres reglamentos y una ordenanza anulados en poco más de dos años (art. 97); el Gobierno en funciones de 2016, que sostuvo no estar sujeto al control de las Cortes, corregido por el Constitucional (art. 101); un convenio entre Cataluña y Murcia anulado por falta de autorización de las Cortes (art. 145.2); los catorce artículos del Estatut anulados total o parcialmente (art. 147). Las resoluciones, con su órgano y su fecha, en el </w:t>
      </w:r>
      <w:r>
        <w:t>anexo A</w:t>
      </w:r>
      <w:r>
        <w:t xml:space="preserve">. </w:t>
      </w:r>
      <w:r>
        <w:t>[18.00-3.4 y 4.5]</w:t>
      </w:r>
    </w:p>
    <w:p>
      <w:r>
        <w:rPr>
          <w:b/>
        </w:rPr>
        <w:t>Algunos ejemplos.</w:t>
      </w:r>
      <w:r>
        <w:t xml:space="preserve"> Del bien común, sin corrección: las condenas del Tribunal Europeo por no investigar torturas (art. 15); el confinamiento con el instrumento más débil (arts. 19 y 55); la condena por perseguir la crítica al Jefe del Estado (art. 20); la temporalidad en el empleo público (art. 103.3); los asuntos pendientes en la Justicia (art. 120.3). Del organigrama, sin corrección: los cinco años y medio sin renovar el Consejo General del Poder Judicial (art. 122) y el Fondo de Compensación Interterritorial en su mínimo (art. 158.2). Y cumplimiento limpio: la mayoría de edad (art. 12), el matrimonio (art. 32), las seis mociones de censura con el diseño constructivo (art. 113). </w:t>
      </w:r>
      <w:r>
        <w:t>[18.00-3.5, 3.6, 4.6 y 4.7]</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xml:space="preserve">) sea un plan: doce correcciones reales lo contradicen. Y no mide la retórica: si el poder invocó la voluntad del pueblo mientras dejaba fuera la condición que la hacía general, eso exigiría leer discursos y debates caso por caso. </w:t>
      </w:r>
      <w:r>
        <w:t>[18.00-5.3; 10.00-16.4 y 16.5]</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 </w:t>
      </w:r>
      <w:r>
        <w:t>[18.00-5.1; 10.00-16.5]</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 xml:space="preserve">. </w:t>
      </w:r>
      <w:r>
        <w:t>[10.00-16.5]</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[original: «λέγω δὲ τὴν μὲν ὕλην οἷον τὸν χαλκόν, τὴν δὲ μορφὴν τὸ σχῆμα τῆς ἰδέας, τὸ δʼ ἐκ τούτων τὸν ἀνδριάντα τὸ σύνολον»]</w:t>
      </w:r>
      <w:r>
        <w:t xml:space="preserve"> (Aristóteles, Metafísica VII, 3, 1029a)</w:t>
      </w:r>
      <w:r>
        <w:br/>
      </w:r>
      <w:r>
        <w:rPr>
          <w:b/>
        </w:rPr>
        <w:t>leída en su fuente · Aristóteles, Metafísica VII, 3, 1029a</w:t>
      </w:r>
      <w:r>
        <w:br/>
      </w:r>
      <w:r>
        <w:rPr>
          <w:b/>
        </w:rPr>
        <w:t>Original donde está:</w:t>
      </w:r>
      <w:r>
        <w:t xml:space="preserve"> 19.00-1.1_Aristoteles_Metafisica_griego_Ross1924_Perseus_canonical-greekLit.xml.txt</w:t>
      </w:r>
      <w:r>
        <w:br/>
      </w:r>
      <w:r>
        <w:t>El pasaje literal no está en el archivo de pasajes con este comienzo; la auditoría lo halló en ese original.</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xml:space="preserve">, forma. </w:t>
      </w:r>
      <w:r>
        <w:t>[19.00-1.1 y 1.2; Aristóteles leído en griego]</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 </w:t>
      </w:r>
      <w:r>
        <w:t>[19.00-0.1 y 24.1]</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xml:space="preserve"> [original: «名不正，則言不順；言不順，則事不成»]</w:t>
      </w:r>
      <w:r>
        <w:t>; y la cadena sigue hasta que el pueblo «no sabe dónde poner las manos ni los pies»</w:t>
      </w:r>
      <w:r>
        <w:t xml:space="preserve"> [original: «民無所措手足»]</w:t>
      </w:r>
      <w:r>
        <w:t xml:space="preserve"> (Confucio, Analectas XIII, 3; traducción de Legge)</w:t>
      </w:r>
      <w:r>
        <w:br/>
      </w:r>
      <w:r>
        <w:rPr>
          <w:b/>
        </w:rPr>
        <w:t>leída en su fuente · Confucio, Analectas XIII, 3; traducción de Legge</w:t>
      </w:r>
      <w:r>
        <w:br/>
      </w:r>
      <w:r>
        <w:rPr>
          <w:b/>
        </w:rPr>
        <w:t>Original donde está:</w:t>
      </w:r>
      <w:r>
        <w:t xml:space="preserve"> 19.00-2.1_Lunyu_XIII_Zilu_zhwikisource.html.txt</w:t>
      </w:r>
      <w:r>
        <w:br/>
      </w:r>
      <w:r>
        <w:t>El pasaje literal no está en el archivo de pasajes con este comienzo; la auditoría lo halló en ese original.</w:t>
      </w:r>
      <w:r>
        <w:t>. Es la rectificación de los nombres. Mencio llevó la idea al gobernante: el que daña la benevolencia y la justicia ya no es un soberano, sino «un simple individuo» (</w:t>
      </w:r>
      <w:r>
        <w:t>3.2</w:t>
      </w:r>
      <w:r>
        <w:t xml:space="preserve">, P1). </w:t>
      </w:r>
      <w:r>
        <w:t>[19.00-2.1 y 2.2]</w:t>
      </w:r>
    </w:p>
    <w:p>
      <w:pPr>
        <w:pStyle w:val="ListBullet"/>
      </w:pPr>
      <w:r>
        <w:rPr>
          <w:b/>
        </w:rPr>
        <w:t>Roma.</w:t>
      </w:r>
      <w:r>
        <w:t xml:space="preserve"> Séneca, a Nerón: «el tirano se distingue del rey por los hechos, no por el nombre»</w:t>
      </w:r>
      <w:r>
        <w:t xml:space="preserve"> [original: «Tyrannus autem a rege factis distat, non nomine»]</w:t>
      </w:r>
      <w:r>
        <w:t xml:space="preserve"> (Séneca, De clementia I, 12, 1)</w:t>
      </w:r>
      <w:r>
        <w:br/>
      </w:r>
      <w:r>
        <w:rPr>
          <w:b/>
        </w:rPr>
        <w:t>leída en su fuente · Séneca, De clementia I, 12, 1</w:t>
      </w:r>
      <w:r>
        <w:br/>
      </w:r>
      <w:r>
        <w:rPr>
          <w:b/>
        </w:rPr>
        <w:t>Archivo leído:</w:t>
      </w:r>
      <w:r>
        <w:t xml:space="preserve"> 19.00-4.1_Seneca_De_Clementia_latinlibrary.html (c7c\19.00-4.1_Seneca_De_Clementia_latinlibrary.html) · contraste del archivo de pasajes: ✔</w:t>
      </w:r>
      <w:r>
        <w:br/>
      </w:r>
      <w:r>
        <w:rPr>
          <w:b/>
        </w:rPr>
        <w:t>Lugar:</w:t>
      </w:r>
      <w:r>
        <w:t xml:space="preserve"> libro I, cap. XII 1 (txt l. 316-317)</w:t>
      </w:r>
      <w:r>
        <w:br/>
      </w:r>
      <w:r>
        <w:rPr>
          <w:b/>
        </w:rPr>
        <w:t>Dirección:</w:t>
      </w:r>
      <w:r>
        <w:t xml:space="preserve"> </w:t>
      </w:r>
      <w:r>
        <w:t>https://www.thelatinlibrary.com/sen/sen.clem.shtml</w:t>
      </w:r>
      <w:r>
        <w:br/>
      </w:r>
      <w:r>
        <w:rPr>
          <w:b/>
        </w:rPr>
        <w:t>Tal como está en la fuente:</w:t>
      </w:r>
      <w:r>
        <w:t xml:space="preserve"> 'Quid ergo? Non reges quoque occidere solent?' Sed quotiens id fieri publica utilitas persuadet; tyrannis saevitia cordi est. Tyrannus autem a rege factis distat, non nomine</w:t>
      </w:r>
      <w:r>
        <w:br/>
      </w:r>
      <w:r>
        <w:rPr>
          <w:b/>
        </w:rPr>
        <w:t>Traducción guardada:</w:t>
      </w:r>
      <w:r>
        <w:t xml:space="preserve"> ¿Y qué? ¿No suelen matar también los reyes? Sí, pero cuando lo aconseja el bien público; a los tiranos les agrada la crueldad. El tirano se distingue del rey por los hechos, no por el nombre</w:t>
      </w:r>
      <w:r>
        <w:t xml:space="preserve">. No es una pata independiente: viene de la tradición griega. </w:t>
      </w:r>
      <w:r>
        <w:t>[19.00-4.1 y 4.2]</w:t>
      </w:r>
    </w:p>
    <w:p>
      <w:pPr>
        <w:pStyle w:val="ListBullet"/>
      </w:pPr>
      <w:r>
        <w:rPr>
          <w:b/>
        </w:rPr>
        <w:t>El Nuevo Testamento.</w:t>
      </w:r>
      <w:r>
        <w:t xml:space="preserve"> «Teniendo apariencia de piedad, mas habiendo negado la eficacia de ella»</w:t>
      </w:r>
      <w:r>
        <w:t xml:space="preserve"> [original: «ἔχοντες μόρφωσιν εὐσεβείας τὴν δὲ δύναμιν αὐτῆς ἠρνημένοι»]</w:t>
      </w:r>
      <w:r>
        <w:t xml:space="preserve"> (2 Tim 3:5)</w:t>
      </w:r>
      <w:r>
        <w:br/>
      </w:r>
      <w:r>
        <w:rPr>
          <w:b/>
        </w:rPr>
        <w:t>leída en su fuente · 2 Tim 3:5</w:t>
      </w:r>
      <w:r>
        <w:br/>
      </w:r>
      <w:r>
        <w:rPr>
          <w:b/>
        </w:rPr>
        <w:t>Original donde está:</w:t>
      </w:r>
      <w:r>
        <w:t xml:space="preserve"> sblgnt_2Tim.txt</w:t>
      </w:r>
      <w:r>
        <w:br/>
      </w:r>
      <w:r>
        <w:t>El pasaje literal no está en el archivo de pasajes con este comienzo; la auditoría lo halló en ese original.</w:t>
      </w:r>
      <w:r>
        <w:t xml:space="preserve">. La palabra griega, </w:t>
      </w:r>
      <w:r>
        <w:rPr>
          <w:i/>
        </w:rPr>
        <w:t>mórphosis</w:t>
      </w:r>
      <w:r>
        <w:t xml:space="preserve">, es de la misma familia que la de Aristóteles. </w:t>
      </w:r>
      <w:r>
        <w:t>[19.00-5.1 y 5.2]</w:t>
      </w:r>
    </w:p>
    <w:p>
      <w:pPr>
        <w:pStyle w:val="ListBullet"/>
      </w:pPr>
      <w:r>
        <w:rPr>
          <w:b/>
        </w:rPr>
        <w:t>Egipto.</w:t>
      </w:r>
      <w:r>
        <w:t xml:space="preserve"> Ya se vio Maat (</w:t>
      </w:r>
      <w:r>
        <w:t>4.2</w:t>
      </w:r>
      <w:r>
        <w:t>). Textos del Imperio Medio describen la época de desorden con esa palabra: «la justicia ha sido expulsada, la iniquidad está en medio de la sala del consejo»</w:t>
      </w:r>
      <w:r>
        <w:t xml:space="preserve"> [original: «Righteousness is cast out, iniquity is in the midst of the council-hall»]</w:t>
      </w:r>
      <w:r>
        <w:t xml:space="preserve"> (Lamento de Jajeperreseneb, traducción de Breasted, 1912)</w:t>
      </w:r>
      <w:r>
        <w:br/>
      </w:r>
      <w:r>
        <w:rPr>
          <w:b/>
        </w:rPr>
        <w:t>leída en su fuente · Lamento de Jajeperreseneb, traducción de Breasted, 1912</w:t>
      </w:r>
      <w:r>
        <w:br/>
      </w:r>
      <w:r>
        <w:rPr>
          <w:b/>
        </w:rPr>
        <w:t>Archivo leído:</w:t>
      </w:r>
      <w:r>
        <w:t xml:space="preserve"> ya estaba Erman (flecos2); Breasted: 19.00-3.1_Breasted_1912_Development_of_Religion_and_Thought_djvu.txt (c7c\19.00-3.1_Breasted_1912_Development_of_Religion_and_Thought_djvu.txt) · contraste del archivo de pasajes: ✔</w:t>
      </w:r>
      <w:r>
        <w:br/>
      </w:r>
      <w:r>
        <w:rPr>
          <w:b/>
        </w:rPr>
        <w:t>Lugar:</w:t>
      </w:r>
      <w:r>
        <w:t xml:space="preserve"> Breasted p. 200 (l. 8690-8691)</w:t>
      </w:r>
      <w:r>
        <w:br/>
      </w:r>
      <w:r>
        <w:rPr>
          <w:b/>
        </w:rPr>
        <w:t>Dirección:</w:t>
      </w:r>
      <w:r>
        <w:t xml:space="preserve"> </w:t>
      </w:r>
      <w:r>
        <w:t>https://archive.org/details/developmentofrel00breauoft</w:t>
      </w:r>
      <w:r>
        <w:br/>
      </w:r>
      <w:r>
        <w:rPr>
          <w:b/>
        </w:rPr>
        <w:t>Tal como está en la fuente:</w:t>
      </w:r>
      <w:r>
        <w:t xml:space="preserve"> Righteousness is cast out, iniquity is in the midst of the council-hall.</w:t>
      </w:r>
      <w:r>
        <w:br/>
      </w:r>
      <w:r>
        <w:rPr>
          <w:b/>
        </w:rPr>
        <w:t>Traducción guardada:</w:t>
      </w:r>
      <w:r>
        <w:t xml:space="preserve"> La justicia ha sido expulsada, la iniquidad está en medio de la sala del consejo</w:t>
      </w:r>
      <w:r>
        <w:t>; y la Profecía de Neferti anuncia un rey con el que «la justicia volverá a su lugar, y la injusticia será expulsada»</w:t>
      </w:r>
      <w:r>
        <w:t xml:space="preserve"> [original: «Das Recht wird wieder an seine Stelle kommen und das Unrecht, das ist herausgejagt»]</w:t>
      </w:r>
      <w:r>
        <w:t xml:space="preserve"> (Erman, Die Literatur der Aegypter, 1923)</w:t>
      </w:r>
      <w:r>
        <w:br/>
      </w:r>
      <w:r>
        <w:rPr>
          <w:b/>
        </w:rPr>
        <w:t>leída en su fuente · Erman, Die Literatur der Aegypter, 1923</w:t>
      </w:r>
      <w:r>
        <w:br/>
      </w:r>
      <w:r>
        <w:rPr>
          <w:b/>
        </w:rPr>
        <w:t>Archivo leído:</w:t>
      </w:r>
      <w:r>
        <w:t xml:space="preserve"> 05.00_Maat_Erman_1923_Literatur_der_Aegypter_djvu.txt y …_archive.pdf (flecos2\05.00_Maat_Erman_1923_Literatur_der_Aegypter_djvu.txt) · contraste del archivo de pasajes: ✔</w:t>
      </w:r>
      <w:r>
        <w:br/>
      </w:r>
      <w:r>
        <w:rPr>
          <w:b/>
        </w:rPr>
        <w:t>Lugar:</w:t>
      </w:r>
      <w:r>
        <w:t xml:space="preserve"> p. 157 (pdf p. 179; djvu l. 9506-9507)</w:t>
      </w:r>
      <w:r>
        <w:br/>
      </w:r>
      <w:r>
        <w:rPr>
          <w:b/>
        </w:rPr>
        <w:t>Dirección:</w:t>
      </w:r>
      <w:r>
        <w:t xml:space="preserve"> </w:t>
      </w:r>
      <w:r>
        <w:t>https://archive.org/details/dieliteraturdera0000adol_a8y0</w:t>
      </w:r>
      <w:r>
        <w:br/>
      </w:r>
      <w:r>
        <w:rPr>
          <w:b/>
        </w:rPr>
        <w:t>Tal como está en la fuente:</w:t>
      </w:r>
      <w:r>
        <w:t xml:space="preserve"> Das Recht wird wieder an seine Stelle kommen und das Unrecht, das ist herausgejagt.</w:t>
      </w:r>
      <w:r>
        <w:br/>
      </w:r>
      <w:r>
        <w:rPr>
          <w:b/>
        </w:rPr>
        <w:t>Traducción guardada:</w:t>
      </w:r>
      <w:r>
        <w:t xml:space="preserve"> La justicia volverá a su lugar y la injusticia será expulsada</w:t>
      </w:r>
      <w:r>
        <w:t xml:space="preserve">. Son textos posteriores al colapso, que miran atrás, no de la época misma. Y no consta ningún faraón depuesto en vida por fallar a Maat. </w:t>
      </w:r>
      <w:r>
        <w:t>[19.00-3.1; nuevo, aprobado por Kiko el 5-oct]</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xml:space="preserve"> [original: «You vowed with the Great Oath to be truthful but you went against it. You don't deserve to stay on the stool»]</w:t>
      </w:r>
      <w:r>
        <w:t>; y en julio de 2026, a un jefe que llevaba ochenta y nueve años en el cargo</w:t>
      </w:r>
      <w:r>
        <w:t xml:space="preserve"> (Graphic Online, 28-8-2024 y 1-3-2025; MyJoyOnline, 28-7-2026; fuente secundaria: prensa)</w:t>
      </w:r>
      <w:r>
        <w:t xml:space="preserve">. </w:t>
      </w:r>
      <w:r>
        <w:t>[19.00-6.1; Rattray y Claridge leídos en Internet Archive]</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r>
        <w:t>[19.00-7.1]</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br/>
      </w:r>
      <w:r>
        <w:rPr>
          <w:b/>
        </w:rPr>
        <w:t>pasaje guardado · Garcilaso de la Vega, Comentarios reales II, 14</w:t>
      </w:r>
      <w:r>
        <w:br/>
      </w:r>
      <w:r>
        <w:rPr>
          <w:b/>
        </w:rPr>
        <w:t>Archivo leído:</w:t>
      </w:r>
      <w:r>
        <w:t xml:space="preserve"> 19.00-8.1_Garcilaso_Comentarios_Reales_ed_Urteaga_1918_t1_djvu.txt (c7c\19.00-8.1_Garcilaso_Comentarios_Reales_ed_Urteaga_1918_t1_djvu.txt) · contraste del archivo de pasajes: parcial</w:t>
      </w:r>
      <w:r>
        <w:br/>
      </w:r>
      <w:r>
        <w:rPr>
          <w:b/>
        </w:rPr>
        <w:t>Lugar:</w:t>
      </w:r>
      <w:r>
        <w:t xml:space="preserve"> pp. 118-119 (l. 6802-6813)</w:t>
      </w:r>
      <w:r>
        <w:br/>
      </w:r>
      <w:r>
        <w:rPr>
          <w:b/>
        </w:rPr>
        <w:t>Dirección:</w:t>
      </w:r>
      <w:r>
        <w:t xml:space="preserve"> </w:t>
      </w:r>
      <w:r>
        <w:t>https://archive.org/details/loscomentariosre01vega</w:t>
      </w:r>
      <w:r>
        <w:br/>
      </w:r>
      <w:r>
        <w:rPr>
          <w:b/>
        </w:rPr>
        <w:t>Tal como está en la fuente:</w:t>
      </w:r>
      <w:r>
        <w:t xml:space="preserve"> había veedores y pesquisadores que de secreto andaban en sus distritos viendo ó pesquisando lo que mal hacían los tales oficiales, y daban cuenta dello a los superiores, a quien tocaba el castigo de sus inferiores, para que lo castigasen. Llamábanse Tucuricocc, que quiere decir el que lo mira todo.</w:t>
      </w:r>
      <w:r>
        <w:t xml:space="preserve">. Vigilaban el poder delegado, no al Inca. </w:t>
      </w:r>
      <w:r>
        <w:t>[19.00-8.1]</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[original: «אם ימצא בם איש אשר ישקר בהון והואה יודע ויבדילהו מתוך טהרת רבים שנה אחת ונענשו את רביעית לחמו»]</w:t>
      </w:r>
      <w:r>
        <w:t xml:space="preserve"> (Regla de la Comunidad, 1QS VI, 24-25)</w:t>
      </w:r>
      <w:r>
        <w:br/>
      </w:r>
      <w:r>
        <w:rPr>
          <w:b/>
        </w:rPr>
        <w:t>pasaje guardado · Regla de la Comunidad, 1QS VI, 24-25</w:t>
      </w:r>
      <w:r>
        <w:br/>
      </w:r>
      <w:r>
        <w:rPr>
          <w:b/>
        </w:rPr>
        <w:t>Original donde está:</w:t>
      </w:r>
      <w:r>
        <w:t xml:space="preserve"> 19.00-10.1_1QS_hebreo_Abegg-Bowley-Cook_ETCBC_dss_tf1.9_CC-BY-NC.txt</w:t>
      </w:r>
      <w:r>
        <w:br/>
      </w:r>
      <w:r>
        <w:t>El pasaje literal no está en el archivo de pasajes con este comienzo; la auditoría lo halló en ese original.</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r>
        <w:t>[19.00-10.1 y 10.2; 1QS leído en hebreo]</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br/>
      </w:r>
      <w:r>
        <w:rPr>
          <w:b/>
        </w:rPr>
        <w:t>leída en su fuente · INTOSAI, ISSAI 300, 2019, p. 8</w:t>
      </w:r>
      <w:r>
        <w:br/>
      </w:r>
      <w:r>
        <w:rPr>
          <w:b/>
        </w:rPr>
        <w:t>Archivo leído:</w:t>
      </w:r>
      <w:r>
        <w:t xml:space="preserve"> 19.00-25_INTOSAI_ISSAI_300_Performance_Audit_Principles_2019_en.pdf · 19.00-25_INTOSAI_ISSAI_300_Principios_Auditoria_de_Desempeno_2019_es.pdf (c7c\19.00-25_INTOSAI_ISSAI_300_Principios_Auditoria_de_Desempeno_2019_es.pdf) · contraste del archivo de pasajes: ✔</w:t>
      </w:r>
      <w:r>
        <w:br/>
      </w:r>
      <w:r>
        <w:rPr>
          <w:b/>
        </w:rPr>
        <w:t>Lugar:</w:t>
      </w:r>
      <w:r>
        <w:t xml:space="preserve"> es, p. 8, apartado 9 (txt l. 213-217)</w:t>
      </w:r>
      <w:r>
        <w:br/>
      </w:r>
      <w:r>
        <w:rPr>
          <w:b/>
        </w:rPr>
        <w:t>Dirección:</w:t>
      </w:r>
      <w:r>
        <w:t xml:space="preserve"> </w:t>
      </w:r>
      <w:r>
        <w:t>https://www.issai.org/wp-content/uploads/2019/08/ISSAI-300-Performance-Audit-Principles.pdf</w:t>
      </w:r>
      <w:r>
        <w:t xml:space="preserve"> · </w:t>
      </w:r>
      <w:r>
        <w:t>https://www.issai.org/wp-content/uploads/2019/08/ISSAI-300-Principios-de-la-Auditoria-de-Desempeno.pdf</w:t>
      </w:r>
      <w:r>
        <w:br/>
      </w:r>
      <w:r>
        <w:rPr>
          <w:b/>
        </w:rPr>
        <w:t>Tal como está en la fuente:</w:t>
      </w:r>
      <w:r>
        <w:t xml:space="preserve"> Tal como la llevan a cabo las EFS,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br/>
      </w:r>
      <w:r>
        <w:rPr>
          <w:b/>
        </w:rPr>
        <w:t>leída en su fuente · Reglamento (UE, Euratom) 2024/2509, art. 33</w:t>
      </w:r>
      <w:r>
        <w:br/>
      </w:r>
      <w:r>
        <w:rPr>
          <w:b/>
        </w:rPr>
        <w:t>Archivo leído:</w:t>
      </w:r>
      <w:r>
        <w:t xml:space="preserve"> 19.00_EURLex_Reglamento_UE_2018-1046_financiero_ES.html; 19.00_EURLex_Reglamento_UE_2024-2509_financiero_refundido_ES.html (c7a\19.00_EURLex_Reglamento_UE_2018-1046_financiero_ES.html; c7a\19.00_EURLex_Reglamento_UE_2024-2509_financiero_refundido_ES.html) · contraste del archivo de pasajes: ✔</w:t>
      </w:r>
      <w:r>
        <w:br/>
      </w:r>
      <w:r>
        <w:rPr>
          <w:b/>
        </w:rPr>
        <w:t>Lugar:</w:t>
      </w:r>
      <w:r>
        <w:t xml:space="preserve"> Art. 33.1 (igual en ambos)</w:t>
      </w:r>
      <w:r>
        <w:br/>
      </w:r>
      <w:r>
        <w:rPr>
          <w:b/>
        </w:rPr>
        <w:t>Dirección:</w:t>
      </w:r>
      <w:r>
        <w:t xml:space="preserve"> </w:t>
      </w:r>
      <w:r>
        <w:t>https://eur-lex.europa.eu/legal-content/ES/TXT/HTML/?uri=CELEX:32018R1046</w:t>
      </w:r>
      <w:r>
        <w:t xml:space="preserve"> ; </w:t>
      </w:r>
      <w:r>
        <w:t>…CELEX:32024R2509</w:t>
      </w:r>
      <w:r>
        <w:br/>
      </w:r>
      <w:r>
        <w:rPr>
          <w:b/>
        </w:rPr>
        <w:t>Tal como está en la fuente:</w:t>
      </w:r>
      <w:r>
        <w:t xml:space="preserve"> b) el principio de eficiencia, que se refiere a la óptima relación entre los medios empleados, las actividades acometidas y la consecución de los objetivos; c) el principio de eficacia, que se refiere a la medida en que se alcanzan los objetivos perseguidos mediante las actividades acometidas.</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br/>
      </w:r>
      <w:r>
        <w:rPr>
          <w:b/>
        </w:rPr>
        <w:t>pasaje guardado · Tribunal de Cuentas, Manual de fiscalización operativa o de gestión, citado en la Revista</w:t>
      </w:r>
      <w:r>
        <w:br/>
      </w:r>
      <w:r>
        <w:rPr>
          <w:b/>
        </w:rPr>
        <w:t>Archivo leído:</w:t>
      </w:r>
      <w:r>
        <w:t xml:space="preserve"> 19.00-25_Genaro_Moya_2016_REC_XVIII_53_pp11-37_fiscalizacion_operativa_Dialnet.pdf (c7c\19.00-25_Genaro_Moya_2016_REC_XVIII_53_pp11-37_fiscalizacion_operativa_Dialnet.pdf) · contraste del archivo de pasajes: ✔</w:t>
      </w:r>
      <w:r>
        <w:br/>
      </w:r>
      <w:r>
        <w:rPr>
          <w:b/>
        </w:rPr>
        <w:t>Lugar:</w:t>
      </w:r>
      <w:r>
        <w:t xml:space="preserve"> p. 16 (pdf p. 18; txt l. 534-541)</w:t>
      </w:r>
      <w:r>
        <w:br/>
      </w:r>
      <w:r>
        <w:rPr>
          <w:b/>
        </w:rPr>
        <w:t>Dirección:</w:t>
      </w:r>
      <w:r>
        <w:t xml:space="preserve"> </w:t>
      </w:r>
      <w:r>
        <w:t>https://dialnet.unirioja.es/descarga/articulo/5636340.pdf</w:t>
      </w:r>
      <w:r>
        <w:br/>
      </w:r>
      <w:r>
        <w:rPr>
          <w:b/>
        </w:rPr>
        <w:t>Tal como está en la fuente:</w:t>
      </w:r>
      <w:r>
        <w:t xml:space="preserve"> nuestro Tribunal de Cuentas, en el mencionado Manual de Fiscalización Operativa o de Gestión, establece que la «fiscalización operativa consiste en la revisión independiente, objetiva y fiable, realizada por personal cualificado, que tiene por objeto verificar si las acciones, sistemas, operaciones, programas, actividades, organizaciones y recursos de la entidad fiscalizada son concordantes con los principios de eficacia, eficiencia y economía…»</w:t>
      </w:r>
      <w:r>
        <w:t>.</w:t>
      </w:r>
    </w:p>
    <w:p>
      <w:r>
        <w:t xml:space="preserve">Es decir: no por sus procedimientos, sino por sus frutos. </w:t>
      </w:r>
      <w:r>
        <w:t>[19.00-25.1 a 25.4]</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 </w:t>
      </w:r>
      <w:r>
        <w:t>[19.00-24.1]</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br/>
      </w:r>
      <w:r>
        <w:rPr>
          <w:b/>
        </w:rPr>
        <w:t>leída en su fuente · nota del CGPJ, 17-9-2024</w:t>
      </w:r>
      <w:r>
        <w:br/>
      </w:r>
      <w:r>
        <w:rPr>
          <w:b/>
        </w:rPr>
        <w:t>Archivo leído:</w:t>
      </w:r>
      <w:r>
        <w:t xml:space="preserve"> 19.00_CGPJ_nota_TSJM_anula_ZBE_Madrid_17-09-2024.html; 19.00_CGPJ_nota_TS_inadmite_recurso_Ayto_Madrid_ZBE.html (c7a\19.00_CGPJ_nota_TSJM_anula_ZBE_Madrid_17-09-2024.html) · contraste del archivo de pasajes: ✔</w:t>
      </w:r>
      <w:r>
        <w:br/>
      </w:r>
      <w:r>
        <w:rPr>
          <w:b/>
        </w:rPr>
        <w:t>Lugar:</w:t>
      </w:r>
      <w:r>
        <w:t xml:space="preserve"> Nota 2024</w:t>
      </w:r>
      <w:r>
        <w:br/>
      </w:r>
      <w:r>
        <w:rPr>
          <w:b/>
        </w:rPr>
        <w:t>Dirección:</w:t>
      </w:r>
      <w:r>
        <w:t xml:space="preserve"> </w:t>
      </w:r>
      <w:r>
        <w:t>https://www.poderjudicial.es/portal/site/cgpj/menuitem.65d2c4456b6ddb628e635fc1dc432ea0/?vgnextoid=0e8973feecff1910VgnVCM1000004648ac0aRCRD&amp;vgnextchannel=ea1732cd1ddaa210VgnVCM100000cb34e20aRCRD&amp;vgnextfmt=default&amp;vgnextlocale=es_ES</w:t>
      </w:r>
      <w:r>
        <w:t xml:space="preserve"> ; </w:t>
      </w:r>
      <w:r>
        <w:t>https://www.poderjudicial.es/cgpj/es/Poder-Judicial/Noticias-Judiciales/El-Tribunal-Supremo-inadmite-el-recurso-presentado-por-el-Ayuntamiento-de-Madrid-contra-la-sentencia-que-anulo-determinados-articulos-de-la-Ordenanza-de-Movilidad-Sostenible-de-Madrid</w:t>
      </w:r>
      <w:r>
        <w:br/>
      </w:r>
      <w:r>
        <w:rPr>
          <w:b/>
        </w:rPr>
        <w:t>Tal como está en la fuente:</w:t>
      </w:r>
      <w:r>
        <w:t xml:space="preserve"> "se da una ""patente insuficiencia del informe de impacto económico"" de las medidas adoptadas en la Ordenanza"</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br/>
      </w:r>
      <w:r>
        <w:rPr>
          <w:b/>
        </w:rPr>
        <w:t>leída en su fuente · Ley 39/2015, art. 53.2.b</w:t>
      </w:r>
      <w:r>
        <w:br/>
      </w:r>
      <w:r>
        <w:rPr>
          <w:b/>
        </w:rPr>
        <w:t>Archivo leído:</w:t>
      </w:r>
      <w:r>
        <w:t xml:space="preserve"> ley39_2015_procedimiento.html; 19.00_STC_18-1981_HJ.html; 19.00_STC_42-1989_HJ.html (c5\ley39_2015_procedimiento.html) · contraste del archivo de pasajes: ✔</w:t>
      </w:r>
      <w:r>
        <w:br/>
      </w:r>
      <w:r>
        <w:rPr>
          <w:b/>
        </w:rPr>
        <w:t>Lugar:</w:t>
      </w:r>
      <w:r>
        <w:t xml:space="preserve"> Art. 53.2.b</w:t>
      </w:r>
      <w:r>
        <w:br/>
      </w:r>
      <w:r>
        <w:rPr>
          <w:b/>
        </w:rPr>
        <w:t>Dirección:</w:t>
      </w:r>
      <w:r>
        <w:t xml:space="preserve"> </w:t>
      </w:r>
      <w:r>
        <w:t>https://www.boe.es/buscar/act.php?id=BOE-A-2015-10565</w:t>
      </w:r>
      <w:r>
        <w:t xml:space="preserve"> ; </w:t>
      </w:r>
      <w:r>
        <w:t>https://hj.tribunalconstitucional.es/es/Resolucion/Show/18</w:t>
      </w:r>
      <w:r>
        <w:t xml:space="preserve"> ; </w:t>
      </w:r>
      <w:r>
        <w:t>…/Show/1248</w:t>
      </w:r>
      <w:r>
        <w:br/>
      </w:r>
      <w:r>
        <w:rPr>
          <w:b/>
        </w:rPr>
        <w:t>Tal como está en la fuente:</w:t>
      </w:r>
      <w:r>
        <w:t xml:space="preserve"> A la presunción de no existencia de responsabilidad administrativa mientras no se demuestre lo contrario.</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t>[19.00-26.1 a 32.1; Ley 39/2015 y STC 18/1981 leídas en el original]</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 xml:space="preserve">. </w:t>
      </w:r>
      <w:r>
        <w:t>[19.00-33.1 y 34.1]</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 </w:t>
      </w:r>
      <w:r>
        <w:t>[19.00-0.1 y 33.1]</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 xml:space="preserve">. </w:t>
      </w:r>
      <w:r>
        <w:t>[19.00-0.2 y 0.3]</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 </w:t>
      </w:r>
      <w:r>
        <w:t>[22.00-0.1]</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br/>
      </w:r>
      <w:r>
        <w:rPr>
          <w:b/>
        </w:rPr>
        <w:t>leída en su fuente · Ley 39/2015, art. 39.1</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se presumirán válidos y producirán efectos desde la fecha en que se dicten</w:t>
      </w:r>
      <w:r>
        <w:t>, «serán inmediatamente ejecutivos»</w:t>
      </w:r>
      <w:r>
        <w:t xml:space="preserve"> (art. 98.1)</w:t>
      </w:r>
      <w:r>
        <w:br/>
      </w:r>
      <w:r>
        <w:rPr>
          <w:b/>
        </w:rPr>
        <w:t>leída en su fuente · art. 98.1</w:t>
      </w:r>
      <w:r>
        <w:br/>
      </w:r>
      <w:r>
        <w:rPr>
          <w:b/>
        </w:rPr>
        <w:t>Archivo leído:</w:t>
      </w:r>
      <w:r>
        <w:t xml:space="preserve"> ley39_2015_procedimiento.html (c5\ley39_2015_procedimiento.html) · contraste del archivo de pasajes: ✔</w:t>
      </w:r>
      <w:r>
        <w:br/>
      </w:r>
      <w:r>
        <w:rPr>
          <w:b/>
        </w:rPr>
        <w:t>Lugar:</w:t>
      </w:r>
      <w:r>
        <w:t xml:space="preserve"> Art. 98.1 (#a98)</w:t>
      </w:r>
      <w:r>
        <w:br/>
      </w:r>
      <w:r>
        <w:rPr>
          <w:b/>
        </w:rPr>
        <w:t>Dirección:</w:t>
      </w:r>
      <w:r>
        <w:t xml:space="preserve"> </w:t>
      </w:r>
      <w:r>
        <w:t>https://www.boe.es/buscar/act.php?id=BOE-A-2015-10565</w:t>
      </w:r>
      <w:r>
        <w:br/>
      </w:r>
      <w:r>
        <w:rPr>
          <w:b/>
        </w:rPr>
        <w:t>Tal como está en la fuente:</w:t>
      </w:r>
      <w:r>
        <w:t xml:space="preserve"> 1. Los actos de las Administraciones Públicas sujetos al Derecho Administrativo serán inmediatamente ejecutivos</w:t>
      </w:r>
      <w:r>
        <w:t>, y puede ejecutarlos ella misma, incluido el «apremio sobre el patrimonio»</w:t>
      </w:r>
      <w:r>
        <w:t xml:space="preserve"> (arts. 99 y 100.1.a)</w:t>
      </w:r>
      <w:r>
        <w:br/>
      </w:r>
      <w:r>
        <w:rPr>
          <w:b/>
        </w:rPr>
        <w:t>pasaje guardado</w:t>
      </w:r>
      <w:r>
        <w:br/>
      </w:r>
      <w:r>
        <w:rPr>
          <w:b/>
        </w:rPr>
        <w:t>Archivo leído:</w:t>
      </w:r>
      <w:r>
        <w:t xml:space="preserve"> c5 (ídem) (ant\c1\l39.html) · contraste del archivo de pasajes: ✔</w:t>
      </w:r>
      <w:r>
        <w:br/>
      </w:r>
      <w:r>
        <w:rPr>
          <w:b/>
        </w:rPr>
        <w:t>Lugar:</w:t>
      </w:r>
      <w:r>
        <w:t xml:space="preserve"> Art. 39.1</w:t>
      </w:r>
      <w:r>
        <w:br/>
      </w:r>
      <w:r>
        <w:rPr>
          <w:b/>
        </w:rPr>
        <w:t>Tal como está en la fuente:</w:t>
      </w:r>
      <w:r>
        <w:t xml:space="preserve"> a) Apremio sobre el patrimonio</w:t>
      </w:r>
      <w:r>
        <w:t>. Es un poder real, con un fin declarado, el interés general, y sujeto a recurso: contra la providencia de apremio caben los motivos de oposición tasados de la ley</w:t>
      </w:r>
      <w:r>
        <w:t xml:space="preserve"> (Ley General Tributaria, art. 167.3)</w:t>
      </w:r>
      <w:r>
        <w:t xml:space="preserve">. </w:t>
      </w:r>
      <w:r>
        <w:t>[22.00-1.1 a 1.3]</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br/>
      </w:r>
      <w:r>
        <w:rPr>
          <w:b/>
        </w:rPr>
        <w:t>leída en su fuente · art. 31.2</w:t>
      </w:r>
      <w:r>
        <w:br/>
      </w:r>
      <w:r>
        <w:rPr>
          <w:b/>
        </w:rPr>
        <w:t>Archivo leído:</w:t>
      </w:r>
      <w:r>
        <w:t xml:space="preserve"> c5 (ídem) (c5\lgt_ley58_2003.html) · contraste del archivo de pasajes: ✔</w:t>
      </w:r>
      <w:r>
        <w:br/>
      </w:r>
      <w:r>
        <w:rPr>
          <w:b/>
        </w:rPr>
        <w:t>Lugar:</w:t>
      </w:r>
      <w:r>
        <w:t xml:space="preserve"> Art. 28.2: recargo ejecutivo del 5 %</w:t>
      </w:r>
      <w:r>
        <w:br/>
      </w:r>
      <w:r>
        <w:rPr>
          <w:b/>
        </w:rPr>
        <w:t>Tal como está en la fuente:</w:t>
      </w:r>
      <w:r>
        <w:t xml:space="preserve"> ésta abonará el interés de demora regulado en el artículo 26 de esta Ley</w:t>
      </w:r>
      <w:r>
        <w:t xml:space="preserve">: el mismo interés, pero ningún recargo. La asimetría está en el recargo, no en el interés. </w:t>
      </w:r>
      <w:r>
        <w:t>[22.00-2.1 a 2.3]</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br/>
      </w:r>
      <w:r>
        <w:rPr>
          <w:b/>
        </w:rPr>
        <w:t>leída en su fuente · STC 150/1990, FJ 9</w:t>
      </w:r>
      <w:r>
        <w:br/>
      </w:r>
      <w:r>
        <w:rPr>
          <w:b/>
        </w:rPr>
        <w:t>Archivo leído:</w:t>
      </w:r>
      <w:r>
        <w:t xml:space="preserve"> 22.00_STC_150-1990_HJ.html; 22.00_STC_233-1999_HJ.html (c7a\22.00_STC_150-1990_HJ.html) · contraste del archivo de pasajes: ✔</w:t>
      </w:r>
      <w:r>
        <w:br/>
      </w:r>
      <w:r>
        <w:rPr>
          <w:b/>
        </w:rPr>
        <w:t>Lugar:</w:t>
      </w:r>
      <w:r>
        <w:t xml:space="preserve"> 150/1990, FJ 9</w:t>
      </w:r>
      <w:r>
        <w:br/>
      </w:r>
      <w:r>
        <w:rPr>
          <w:b/>
        </w:rPr>
        <w:t>Dirección:</w:t>
      </w:r>
      <w:r>
        <w:t xml:space="preserve"> </w:t>
      </w:r>
      <w:r>
        <w:t>https://hj.tribunalconstitucional.es/es/Resolucion/Show/1575</w:t>
      </w:r>
      <w:r>
        <w:t xml:space="preserve"> ; </w:t>
      </w:r>
      <w:r>
        <w:t>…/Show/3975</w:t>
      </w:r>
      <w:r>
        <w:br/>
      </w:r>
      <w:r>
        <w:rPr>
          <w:b/>
        </w:rPr>
        <w:t>Tal como está en la fuente:</w:t>
      </w:r>
      <w:r>
        <w:t xml:space="preserve"> asumiendo la dificultad de situar con criterios técnicamente operativos la frontera en la que lo progresivo [...] degenera en confiscatorio</w:t>
      </w:r>
      <w:r>
        <w:t>. Y una vez funcionó: la plusvalía municipal era inconstitucional cuando «la cuota a satisfacer es superior al incremento patrimonial realmente obtenido por el contribuyente»</w:t>
      </w:r>
      <w:r>
        <w:t xml:space="preserve"> (STC 126/2019, FJ 5)</w:t>
      </w:r>
      <w:r>
        <w:br/>
      </w:r>
      <w:r>
        <w:rPr>
          <w:b/>
        </w:rPr>
        <w:t>leída en su fuente · STC 126/2019, FJ 5</w:t>
      </w:r>
      <w:r>
        <w:br/>
      </w:r>
      <w:r>
        <w:rPr>
          <w:b/>
        </w:rPr>
        <w:t>Archivo leído:</w:t>
      </w:r>
      <w:r>
        <w:t xml:space="preserve"> 22.00_STC_126-2019_HJ.html (c7a\22.00_STC_126-2019_HJ.html) · contraste del archivo de pasajes: ✔</w:t>
      </w:r>
      <w:r>
        <w:br/>
      </w:r>
      <w:r>
        <w:rPr>
          <w:b/>
        </w:rPr>
        <w:t>Dirección:</w:t>
      </w:r>
      <w:r>
        <w:t xml:space="preserve"> </w:t>
      </w:r>
      <w:r>
        <w:t>https://hj.tribunalconstitucional.es/es/Resolucion/Show/26072</w:t>
      </w:r>
      <w:r>
        <w:br/>
      </w:r>
      <w:r>
        <w:rPr>
          <w:b/>
        </w:rPr>
        <w:t>Tal como está en la fuente:</w:t>
      </w:r>
      <w:r>
        <w:t xml:space="preserve"> el art. 107.4 TRLHL debe serlo únicamente en aquellos casos en los que la cuota a satisfacer es superior al incremento patrimonial realmente obtenido por el contribuyente</w:t>
      </w:r>
      <w:r>
        <w:br/>
      </w:r>
      <w:r>
        <w:rPr>
          <w:b/>
        </w:rPr>
        <w:t>Traducción guardada:</w:t>
      </w:r>
      <w:r>
        <w:t xml:space="preserve"> FJ 5 a</w:t>
      </w:r>
      <w:r>
        <w:t xml:space="preserve">. </w:t>
      </w:r>
      <w:r>
        <w:t>[22.00-3.1 a 3.3]</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 xml:space="preserve">. </w:t>
      </w:r>
      <w:r>
        <w:t>[22.00-4.1 y 4.2]</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br/>
      </w:r>
      <w:r>
        <w:rPr>
          <w:b/>
        </w:rPr>
        <w:t>leída en su fuente · Ley General Tributaria, art. 107.1</w:t>
      </w:r>
      <w:r>
        <w:br/>
      </w:r>
      <w:r>
        <w:rPr>
          <w:b/>
        </w:rPr>
        <w:t>Archivo leído:</w:t>
      </w:r>
      <w:r>
        <w:t xml:space="preserve"> c5 (ídem) (c5\lgt_ley58_2003.html) · contraste del archivo de pasajes: ✔</w:t>
      </w:r>
      <w:r>
        <w:br/>
      </w:r>
      <w:r>
        <w:rPr>
          <w:b/>
        </w:rPr>
        <w:t>Lugar:</w:t>
      </w:r>
      <w:r>
        <w:t xml:space="preserve"> Art. 107.1</w:t>
      </w:r>
      <w:r>
        <w:br/>
      </w:r>
      <w:r>
        <w:rPr>
          <w:b/>
        </w:rPr>
        <w:t>Tal como está en la fuente:</w:t>
      </w:r>
      <w:r>
        <w:t xml:space="preserve"> Las diligencias extendidas en el curso de las actuaciones y los procedimientos tributarios tienen naturaleza de documentos públicos y hacen prueba de los hechos que motiven su formalización, salvo que se acredite lo contrario.</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de 26 de abril, FJ 8</w:t>
      </w:r>
      <w:r>
        <w:br/>
      </w:r>
      <w:r>
        <w:rPr>
          <w:b/>
        </w:rPr>
        <w:t>Dirección:</w:t>
      </w:r>
      <w:r>
        <w:t xml:space="preserve"> </w:t>
      </w:r>
      <w:r>
        <w:t>https://hj.tribunalconstitucional.es/es/Resolucion/Show/1501</w:t>
      </w:r>
      <w:r>
        <w:br/>
      </w:r>
      <w:r>
        <w:rPr>
          <w:b/>
        </w:rPr>
        <w:t>Tal como está en la fuente:</w:t>
      </w:r>
      <w:r>
        <w:t xml:space="preserve"> ese valor probatorio sólo puede referirse a los hechos comprobados directamente por el funcionario, quedando fuera de su alcance las calificaciones jurídicas, los juicios de valor o las simples opiniones que los inspectores consignen en las actas y diligencias</w:t>
      </w:r>
      <w:r>
        <w:t xml:space="preserve">. </w:t>
      </w:r>
      <w:r>
        <w:t>[22.00-5.1 a 5.3]</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br/>
      </w:r>
      <w:r>
        <w:rPr>
          <w:b/>
        </w:rPr>
        <w:t>leída en su fuente · AIReF, informe sobre los presupuestos iniciales de 2026</w:t>
      </w:r>
      <w:r>
        <w:br/>
      </w:r>
      <w:r>
        <w:rPr>
          <w:b/>
        </w:rPr>
        <w:t>Archivo leído:</w:t>
      </w:r>
      <w:r>
        <w:t xml:space="preserve"> airef_informe_presupuestos_iniciales_2026.txt) (c5b\airef_informe_presupuestos_iniciales_2026.pdf) · contraste del archivo de pasajes: ✔</w:t>
      </w:r>
      <w:r>
        <w:br/>
      </w:r>
      <w:r>
        <w:rPr>
          <w:b/>
        </w:rPr>
        <w:t>Lugar:</w:t>
      </w:r>
      <w:r>
        <w:t xml:space="preserve"> PDF 59</w:t>
      </w:r>
      <w:r>
        <w:br/>
      </w:r>
      <w:r>
        <w:rPr>
          <w:b/>
        </w:rPr>
        <w:t>Tal como está en la fuente:</w:t>
      </w:r>
      <w:r>
        <w:t xml:space="preserve"> Para 2026, se estima que el gasto por intereses alcanzará los 43.300 millones, el 2,5 % del PIB y un tipo implícito del 2,6 %</w:t>
      </w:r>
      <w:r>
        <w:t xml:space="preserve">. El dato no prueba una intención: prueba que la capacidad de invertir está condicionada por el peso de la deuda. </w:t>
      </w:r>
      <w:r>
        <w:t>[22.00-6.1 a 6.3]</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Ya se vio con la vivienda (</w:t>
      </w:r>
      <w:r>
        <w:t>5.1</w:t>
      </w:r>
      <w:r>
        <w:t xml:space="preserve">, n.º 16). Esa diferencia de fuerza es el primer dato. </w:t>
      </w:r>
      <w:r>
        <w:t>[22.00-9.1 y 9.2]</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br/>
      </w:r>
      <w:r>
        <w:rPr>
          <w:b/>
        </w:rPr>
        <w:t>leída en su fuente · Real Decreto 247/2001, art. 1</w:t>
      </w:r>
      <w:r>
        <w:br/>
      </w:r>
      <w:r>
        <w:rPr>
          <w:b/>
        </w:rPr>
        <w:t>Archivo leído:</w:t>
      </w:r>
      <w:r>
        <w:t xml:space="preserve"> 22.00_BOE-A-1999-11194_Ley_17-1999_personal_FFAA_original.html; 22.00_BOE-A-2001-4711_RD_247-2001_suspension_servicio_militar.html (c7a\22.00_BOE-A-2001-4711_RD_247-2001_suspension_servicio_militar.html) · contraste del archivo de pasajes: ✔</w:t>
      </w:r>
      <w:r>
        <w:br/>
      </w:r>
      <w:r>
        <w:rPr>
          <w:b/>
        </w:rPr>
        <w:t>Lugar:</w:t>
      </w:r>
      <w:r>
        <w:t xml:space="preserve"> Ley 17/1999, DA 13.ª.1</w:t>
      </w:r>
      <w:r>
        <w:br/>
      </w:r>
      <w:r>
        <w:rPr>
          <w:b/>
        </w:rPr>
        <w:t>Dirección:</w:t>
      </w:r>
      <w:r>
        <w:t xml:space="preserve"> </w:t>
      </w:r>
      <w:r>
        <w:t>https://www.boe.es/buscar/doc.php?id=BOE-A-1999-11194</w:t>
      </w:r>
      <w:r>
        <w:t xml:space="preserve"> ; </w:t>
      </w:r>
      <w:r>
        <w:t>https://www.boe.es/buscar/doc.php?id=BOE-A-2001-4711</w:t>
      </w:r>
      <w:r>
        <w:br/>
      </w:r>
      <w:r>
        <w:rPr>
          <w:b/>
        </w:rPr>
        <w:t>Tal como está en la fuente:</w:t>
      </w:r>
      <w:r>
        <w:t xml:space="preserve"> Se adelanta al 31 de diciembre de 2001 la fecha de la suspensión de la prestación del servicio militar.</w:t>
      </w:r>
      <w:r>
        <w:t xml:space="preserve">. </w:t>
      </w:r>
      <w:r>
        <w:t>[22.00-10.1 y 10.2]</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t>[22.00-11.1 a 11.4]</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 </w:t>
      </w:r>
      <w:r>
        <w:t>[22.00-8.1, 12.1 y 14.1]</w:t>
      </w:r>
    </w:p>
    <w:p>
      <w:r>
        <w:rPr>
          <w:b/>
        </w:rPr>
        <w:t>Lectura del autor:</w:t>
      </w:r>
      <w:r>
        <w:t xml:space="preserve"> el Estado cobra con la ley de los hechos consumados y paga con la ley de los hechos aplazados. Lo que para uno es inmediato, para el otro es un principio. «Por sus frutos los conoceréis» (Mt 7:16). </w:t>
      </w:r>
      <w:r>
        <w:t>[22.00-7.1 y 12.1]</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xml:space="preserve">);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 </w:t>
      </w:r>
      <w:r>
        <w:t>[28.00-0.1 y 0.2]</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br/>
      </w:r>
      <w:r>
        <w:rPr>
          <w:b/>
        </w:rPr>
        <w:t>leída en su fuente · Ley de Enjuiciamiento Civil, art. 250.1.4.º, en la redacción de la Ley 5/2018</w:t>
      </w:r>
      <w:r>
        <w:br/>
      </w:r>
      <w:r>
        <w:rPr>
          <w:b/>
        </w:rPr>
        <w:t>Archivo leído:</w:t>
      </w:r>
      <w:r>
        <w:t xml:space="preserve"> 28.00_BOE-A-2018-7833_Ley_5-2018_ocupacion_original.html (c7a\28.00_BOE-A-2018-7833_Ley_5-2018_ocupacion_original.html) · contraste del archivo de pasajes: ✔</w:t>
      </w:r>
      <w:r>
        <w:br/>
      </w:r>
      <w:r>
        <w:rPr>
          <w:b/>
        </w:rPr>
        <w:t>Lugar:</w:t>
      </w:r>
      <w:r>
        <w:t xml:space="preserve"> Nuevo art. 250.1.4.º LEC</w:t>
      </w:r>
      <w:r>
        <w:br/>
      </w:r>
      <w:r>
        <w:rPr>
          <w:b/>
        </w:rPr>
        <w:t>Dirección:</w:t>
      </w:r>
      <w:r>
        <w:t xml:space="preserve"> </w:t>
      </w:r>
      <w:r>
        <w:t>https://www.boe.es/buscar/doc.php?id=BOE-A-2018-7833</w:t>
      </w:r>
      <w:r>
        <w:br/>
      </w:r>
      <w:r>
        <w:rPr>
          <w:b/>
        </w:rPr>
        <w:t>Tal como está en la fuente:</w:t>
      </w:r>
      <w:r>
        <w:t xml:space="preserve"> Podrán pedir la inmediata recuperación de la plena posesión de una vivienda [...] la persona física que sea propietaria o poseedora legítima por otro título, las entidades sin ánimo de lucro con derecho a poseerla y las entidades públicas propietarias o poseedoras legítimas de vivienda social.</w:t>
      </w:r>
      <w:r>
        <w:t xml:space="preserve">. El fallo está antes: en el primer contacto policial, hay que distinguir en minutos lo que un juzgado tarda meses en aclarar. </w:t>
      </w:r>
      <w:r>
        <w:t>[28.00-1.1 a 1.3]</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br/>
      </w:r>
      <w:r>
        <w:rPr>
          <w:b/>
        </w:rPr>
        <w:t>leída en su fuente · Ley de Enjuiciamiento Criminal, art. 544 ter.4</w:t>
      </w:r>
      <w:r>
        <w:br/>
      </w:r>
      <w:r>
        <w:rPr>
          <w:b/>
        </w:rPr>
        <w:t>Archivo leído:</w:t>
      </w:r>
      <w:r>
        <w:t xml:space="preserve"> 28.00_BOE-A-1882-6036_LECrim_consolidada.html (c7a\28.00_BOE-A-1882-6036_LECrim_consolidada.html) · contraste del archivo de pasajes: ✔</w:t>
      </w:r>
      <w:r>
        <w:br/>
      </w:r>
      <w:r>
        <w:rPr>
          <w:b/>
        </w:rPr>
        <w:t>Lugar:</w:t>
      </w:r>
      <w:r>
        <w:t xml:space="preserve"> Art. 544 ter.4</w:t>
      </w:r>
      <w:r>
        <w:br/>
      </w:r>
      <w:r>
        <w:rPr>
          <w:b/>
        </w:rPr>
        <w:t>Dirección:</w:t>
      </w:r>
      <w:r>
        <w:t xml:space="preserve"> </w:t>
      </w:r>
      <w:r>
        <w:t>https://www.boe.es/buscar/act.php?id=BOE-A-1882-6036</w:t>
      </w:r>
      <w:r>
        <w:br/>
      </w:r>
      <w:r>
        <w:rPr>
          <w:b/>
        </w:rPr>
        <w:t>Tal como está en la fuente:</w:t>
      </w:r>
      <w:r>
        <w:t xml:space="preserve"> convocará a una audiencia urgente a la víctima [...] y al presunto agresor [...] En cualquier caso la audiencia habrá de celebrarse en un plazo máximo de setenta y dos horas desde la presentación de la solicitud</w:t>
      </w:r>
      <w:r>
        <w:t>. Y el juez deniega con frecuencia: en 2024 se solicitaron 49.268 órdenes de protección, «fueron acordadas 33.247 y se denegaron otras 15.827»</w:t>
      </w:r>
      <w:r>
        <w:t xml:space="preserve"> (CGPJ, datos de 2024)</w:t>
      </w:r>
      <w:r>
        <w:br/>
      </w:r>
      <w:r>
        <w:rPr>
          <w:b/>
        </w:rPr>
        <w:t>leída en su fuente · CGPJ, datos de 2024</w:t>
      </w:r>
      <w:r>
        <w:br/>
      </w:r>
      <w:r>
        <w:rPr>
          <w:b/>
        </w:rPr>
        <w:t>Archivo leído:</w:t>
      </w:r>
      <w:r>
        <w:t xml:space="preserve"> 28.00_CGPJ_nota_prensa_violencia_genero_anual_2024.html (c7b\28.00_CGPJ_nota_prensa_violencia_genero_anual_2024.html) · contraste del archivo de pasajes: ✔</w:t>
      </w:r>
      <w:r>
        <w:br/>
      </w:r>
      <w:r>
        <w:rPr>
          <w:b/>
        </w:rPr>
        <w:t>Dirección:</w:t>
      </w:r>
      <w:r>
        <w:t xml:space="preserve"> </w:t>
      </w:r>
      <w:r>
        <w:t>https://www.poderjudicial.es/cgpj/es/Poder-Judicial/En-Portada/-La-media-diaria-de-denuncias-por-violencia-de-genero-en-2024-fue-de-544--un-0-09--menos-que-el-ano-anterior</w:t>
      </w:r>
      <w:r>
        <w:br/>
      </w:r>
      <w:r>
        <w:rPr>
          <w:b/>
        </w:rPr>
        <w:t>Tal como está en la fuente:</w:t>
      </w:r>
      <w:r>
        <w:t xml:space="preserve"> En 2024 se solicitaron en los órganos judiciales (juzgados de violencia sobre la mujer y juzgados de guardia) un total de 49.268 órdenes de protección, un 3 % menos que en 2023. De ellas, fueron acordadas 33.247 y se denegaron otras 15.827</w:t>
      </w:r>
      <w:r>
        <w:t>; en el segundo trimestre de 2025 no se acordaron el 32,3 %</w:t>
      </w:r>
      <w:r>
        <w:t xml:space="preserve"> (CGPJ, segundo trimestre de 2025)</w:t>
      </w:r>
      <w:r>
        <w:t xml:space="preserve">. </w:t>
      </w:r>
      <w:r>
        <w:t>[28.00-2.1 a 2.3]</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xml:space="preserve">. Hay una objeción metodológica legítima: la cifra mide también cuánto se persigue la denuncia falsa, y no solo cuántas hay. Pero es una hipótesis sobre lo que no se mide, no un dato alternativo. </w:t>
      </w:r>
      <w:r>
        <w:t>[28.00-3.1 a 3.3]</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xml:space="preserve">. Y una absolución no equivale a una denuncia falsa: condenar exige probar que quien denunció sabía que mentía. </w:t>
      </w:r>
      <w:r>
        <w:t>[28.00-4.1 a 4.3]</w:t>
      </w:r>
    </w:p>
    <w:p>
      <w:r>
        <w:rPr>
          <w:b/>
        </w:rPr>
        <w:t>5. Sin mediación.</w:t>
      </w:r>
      <w:r>
        <w:t xml:space="preserve"> En los asuntos de violencia sobre la mujer «está vedada la utilización de los medios adecuados de solución de controversias»</w:t>
      </w:r>
      <w:r>
        <w:t xml:space="preserve"> (Ley Orgánica del Poder Judicial, art. 89.9)</w:t>
      </w:r>
      <w:r>
        <w:br/>
      </w:r>
      <w:r>
        <w:rPr>
          <w:b/>
        </w:rPr>
        <w:t>leída en su fuente · Ley Orgánica del Poder Judicial, art. 89.9</w:t>
      </w:r>
      <w:r>
        <w:br/>
      </w:r>
      <w:r>
        <w:rPr>
          <w:b/>
        </w:rPr>
        <w:t>Archivo leído:</w:t>
      </w:r>
      <w:r>
        <w:t xml:space="preserve"> 12.00_13.00_BOE_LOPJ_LO_6-1985_consolidada.html (c6\12.00_13.00_BOE_LOPJ_LO_6-1985_consolidada.html) · contraste del archivo de pasajes: ✔</w:t>
      </w:r>
      <w:r>
        <w:br/>
      </w:r>
      <w:r>
        <w:rPr>
          <w:b/>
        </w:rPr>
        <w:t>Lugar:</w:t>
      </w:r>
      <w:r>
        <w:t xml:space="preserve"> El art. 44 LO 1/2004 añadió el art. 87 ter LOPJ, cuyo apartado 5 decía</w:t>
      </w:r>
      <w:r>
        <w:br/>
      </w:r>
      <w:r>
        <w:rPr>
          <w:b/>
        </w:rPr>
        <w:t>Dirección:</w:t>
      </w:r>
      <w:r>
        <w:t xml:space="preserve"> </w:t>
      </w:r>
      <w:r>
        <w:t>https://www.boe.es/buscar/act.php?id=BOE-A-2004-21760</w:t>
      </w:r>
      <w:r>
        <w:t xml:space="preserve"> ; </w:t>
      </w:r>
      <w:r>
        <w:t>https://www.boe.es/buscar/act.php?id=BOE-A-1985-12666</w:t>
      </w:r>
      <w:r>
        <w:br/>
      </w:r>
      <w:r>
        <w:rPr>
          <w:b/>
        </w:rPr>
        <w:t>Tal como está en la fuente:</w:t>
      </w:r>
      <w:r>
        <w:t xml:space="preserve"> En todos estos casos está vedada la utilización de los medios adecuados de solución de controversias.</w:t>
      </w:r>
      <w:r>
        <w:t xml:space="preserve">. Todo va por la vía judicial contenciosa, también en los conflictos de baja intensidad. Es una decisión de diseño. </w:t>
      </w:r>
      <w:r>
        <w:t>[28.00-5.1 y 5.2]</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br/>
      </w:r>
      <w:r>
        <w:rPr>
          <w:b/>
        </w:rPr>
        <w:t>leída en su fuente · Ley de Enjuiciamiento Criminal, art. 544 ter.7</w:t>
      </w:r>
      <w:r>
        <w:br/>
      </w:r>
      <w:r>
        <w:rPr>
          <w:b/>
        </w:rPr>
        <w:t>Archivo leído:</w:t>
      </w:r>
      <w:r>
        <w:t xml:space="preserve"> 28.00_BOE-A-1882-6036_LECrim_consolidada.html; 28.00_BOE-A-2021-9347_LO_8-2021_infancia_original.html (c7a\28.00_BOE-A-1882-6036_LECrim_consolidada.html; c7a\28.00_BOE-A-2021-9347_LO_8-2021_infancia_original.html) · contraste del archivo de pasajes: ✔</w:t>
      </w:r>
      <w:r>
        <w:br/>
      </w:r>
      <w:r>
        <w:rPr>
          <w:b/>
        </w:rPr>
        <w:t>Lugar:</w:t>
      </w:r>
      <w:r>
        <w:t xml:space="preserve"> Art. 544 ter.7</w:t>
      </w:r>
      <w:r>
        <w:br/>
      </w:r>
      <w:r>
        <w:rPr>
          <w:b/>
        </w:rPr>
        <w:t>Tal como está en la fuente:</w:t>
      </w:r>
      <w:r>
        <w:t xml:space="preserve"> Cuando se dicte una orden de protección con medidas de contenido penal y existieran indicios fundados de que los hijos e hijas menores de edad hubieran presenciado, sufrido o convivido con la violencia [...] la autoridad judicial, de oficio o a instancia de parte, suspenderá el régimen de visitas [...] No obstante, a instancia de parte, la autoridad judicial podrá no acordar la suspensión mediante resolución motivada en el interés superior del menor</w:t>
      </w:r>
      <w:r>
        <w:t>. En 2024 se dictaron 4.155 suspensiones del régimen de visitas y 2.369 de la guarda y custodia</w:t>
      </w:r>
      <w:r>
        <w:t xml:space="preserve"> (CGPJ, datos de 2024)</w:t>
      </w:r>
      <w:r>
        <w:t xml:space="preserve">. La regla protege al menor, y la letra no distingue por sexo: se aplica a quien resulte investigado. Lo que la crítica señala es el momento: se decide al inicio, cuando la prueba suele limitarse a las declaraciones de las partes. </w:t>
      </w:r>
      <w:r>
        <w:t>[28.00-6.1 a 7.2]</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 </w:t>
      </w:r>
      <w:r>
        <w:t>[28.00-8.1]</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 xml:space="preserve">). </w:t>
      </w:r>
      <w:r>
        <w:t>[28.00-8.1; 28.00-9.9]</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r>
        <w:t>[18.00-5.3]</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r>
        <w:t>[14.00-4.3; 18.00-6.2]</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r>
        <w:t>[19.00-24.1 y 33.1]</w:t>
      </w:r>
    </w:p>
    <w:p>
      <w:pPr>
        <w:pStyle w:val="ListBullet"/>
      </w:pPr>
      <w:r>
        <w:rPr>
          <w:b/>
        </w:rPr>
        <w:t>Solo dos de los doce principios rectores</w:t>
      </w:r>
      <w:r>
        <w:t xml:space="preserve"> tienen dato propio en esta auditoría. </w:t>
      </w:r>
      <w:r>
        <w:t>[22.00-14.1]</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r>
        <w:t>[clasificación de las defensas, aprobada; 14.00-8.10 y 8.11; 15.00-17.30 y 17.31; 16.00-13.8 y 13.9; 18.00-7.12 y 7.13; 19.00-35.10 a 35.15; 28.00-9.2 a 9.9]</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7 La auditoría: la Constitución frente a los hechos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La auditoría: la Constitución frente a los hechos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