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t xml:space="preserve"> (Art. 1.2 CE; STC 31/2015 (BOE-A-2015-2832); STC 114/2017 (BOE-A-2017-12206); STC 51/2017, de 10-V, rec. 8912-2010)</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t xml:space="preserve"> (BOE-A-2017-12328 (Orden PRA/1034/2017, apartado E.9); BOE-A-2017-12327 (acuerdo del Senado, 27-X-2017); RD 946/2017 (BOE-A-2017-12330); RD 954/2017 (BOE-A-2017-12560); STC 89/2019 (BOE-A-2019-11901, fallo leído); STC 90/2019 (BOE-A-2019-11902, fallo leído); votación del Senado: Diario de Sesiones del Senado, XII Legislatura, Pleno núm. 24 (BOCG/DS núm. 45), 27-X-2017, leído en el original; cifras de cargos y de afectación económica: Acuerdo del Gobierno de la Generalitat de 13-XI-2018)</w:t>
      </w:r>
    </w:p>
    <w:p>
      <w:r>
        <w:t>Los decretos de cese y de disolución, los fallos de las SSTC 89/2019 y 90/2019 y las cifras de la Generalitat (parte interesada) están en el nivel completo.</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t xml:space="preserve"> (LO 3/2020 (BOE-A-2020-17264); rec. 1828-2021 ante el TC; STSJ Cataluña, Secc. 5ª, 16-XII-2020 (rec. 168/2015); SSTS 23 y 28-IV-2015; TSJ de Cataluña, autos de 4-V-2022 y 28-VII-2022 (ATSJ CAT 421/2022); cuestión de inconstitucionalidad 6052-2022 (BOE-A-2022-18184))</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t xml:space="preserve"> (Juzgado de lo Contencioso-Administrativo nº 2 de Bilbao; Ley 39/1981)</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t xml:space="preserve"> (Búsqueda sin hallazgos de conflicto)</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t xml:space="preserve"> (Art. 6 CE; GRECO, Tercera Ronda de Evaluación (2009), Tema II; informe de cumplimiento (2011) y segunda adenda al segundo informe de cumplimiento (2016), párrs. 29, 63 y 65; LO 3/2015)</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t xml:space="preserve"> (Ministerio de Defensa; OTAN, informes sobre el gasto en defensa (2024, 2025 y 2026), Tabla 3)</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t>(Miguel Hernández Serna, El Derecho (Tribuna), 25-III-2019; fuente secundaria)</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t xml:space="preserve"> (STC 45/2018, de 26-IV; STC 51/2018, de 10-V; STC 104/2016; STC 4/2016; STC 173/1996)</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t xml:space="preserve"> (ABC, 20-VIII-2025 (entrevista a la familia), e Idealista News, 12-IX-2025, fuente secundaria: prensa (no se encontró corroboración municipal ni judicial); art. 10.1 CE)</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t xml:space="preserve"> (Art. 11 CE; art. 24 del Código Civil)</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t xml:space="preserve"> (Art. 12 CE; Código Civil; Ley 25/2010)</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t xml:space="preserve"> (Defensor del Pueblo, Informe anual 2025, apartado 4.8, págs. 176 y 177; Defensor del Pueblo, resolución de 7-IV-2026 (queja 26008033))</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t xml:space="preserve"> (INE 2024; STC 79/2020, de 2-VII, rec. 500-2019 (BOE-A-2020-8960, fallo leído en el original); STC 108/2019; STC 76/1990; STC 145/1991)</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t xml:space="preserve"> (TEDH, demanda 3344/13; caso del director de Egunkaria)</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t xml:space="preserve"> (Agencia Tributaria, datos IRPF 2024; Ley 42/2006; Acuerdo España-Santa Sede (1979))</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t xml:space="preserve"> (STC 73/2021, de 18-III; STC 49/2022; STC 103/2022; STC 85/2024; STC 21/2026, de 10-III)</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t xml:space="preserve"> (Citizen Lab, informe de 18-IV-2022; comparecencia de la directora del CNI ante el Congreso; Audiencia Nacional, auto de sobreseimiento provisional de 22-I-2026 (caso distinto: espionaje al Gobierno español, no CatalanGate))</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t xml:space="preserve"> (STC 148/2021, de 14-VII (BOE-A-2021-13032); STC 183/2021, de 27-X)</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t xml:space="preserve"> (TEDH, sentencia de 13-III-2018)</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t xml:space="preserve"> (Art. 21 CE; arts. 36.2, 36.23, 37.1 y 39.1, LO 4/2015; STC 172/2020, de 19-XI-2020, rec. 2896-2015)</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t xml:space="preserve"> (Vírgala, REDCE n.º 13, que la atribuye a los §§ 84 a 86 de la sentencia; HUDOC no accesible; fuente secundaria)</w:t>
      </w:r>
      <w:r>
        <w:t>.</w:t>
      </w:r>
      <w:r>
        <w:t xml:space="preserve"> (STS, Sala Especial, 27-III-2003; SSTC 5 y 6/2004, de 16-I; TEDH, 30-VI-2009)</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t xml:space="preserve"> (LO 12/2022, de 30-IX (BOE-A-2022-16018))</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t xml:space="preserve"> (TEDH, Lizaso Azconobieta c. España, 28-VI-2011 (art. 6.2 CEDH; leída en francés, la lengua de la sentencia); STC 245/1991, de 16-XII)</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t xml:space="preserve"> (STC 169/2021, de 6-X, rec. 3866-2015; Kafkaris c. Chipre, TEDH (2008))</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t xml:space="preserve"> (LO 9/1960; Ley 9/1988; LO 5/2005, art. 21.2; STC 219/1989, de 11-XII)</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t xml:space="preserve"> (STC 2/2022, de 24-I; SSTC de 23-X-2013 y 25-VI-2015; SSTC 26/1981 y 53/1986)</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t xml:space="preserve"> (LO 4/2001, de 12-XI (BOE-A-2001-21090), Exposición de Motivos y art. 3)</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t xml:space="preserve"> (RD 247/2001, de 9-III (BOE-A-2001-4711); RD 342/2001, de 4-IV; Real Decreto 170/2026, de 4 de marzo, apartado sexto)</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t xml:space="preserve"> (STC 73/2017, de 8-VI; STC 182/2021, de 26-X; STC 150/1990; STC 233/1999; STC 126/2019)</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t xml:space="preserve"> (STC 198/2012, de 6-XI, rec. 6864-2005 (BOE-A-2012-14602))</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t xml:space="preserve"> (TEDH, sentencias de 13-XII-2018 (Italia) y 3-XII-2020 (Grecia); art. 1, Protocolo 1 CEDH)</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t xml:space="preserve"> (Tribunal de Cuentas, informe de 26-IV-2026)</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t xml:space="preserve"> (INE, Encuesta Anual de Estructura Salarial 2024 (nota de prensa); Eurostat 2024)</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t xml:space="preserve"> (CNMC, resoluciones sancionadoras y nota de prensa de 12-3-2018; CNC, informe de 18-IV-2012 sobre colegios profesionales; CNMC, nota de prensa de 5-I-2016 e informe IPN 110/13)</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t xml:space="preserve"> (RDL 32/2021, de 28-XII (BOE-A-2021-21788), arts. 84.2, 86.3 y 86.4 del Estatuto de los Trabajadores)</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t xml:space="preserve"> (Banco Mundial, Doing Business 2020; WEF, Informe de Competitividad Mundial 2019; Banco de España)</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t xml:space="preserve"> (UNICEF España, noticia de 17-X-2024)</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t xml:space="preserve"> (Ministerio de Trabajo y Economía Social, Análisis de las estadísticas de accidentes de trabajo, 2024)</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t xml:space="preserve"> (SEPE / Ministerio de Trabajo y Economía Social, notas de prensa sobre paro registrado y prestaciones (enero de 2026); RDL 2/2024)</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t xml:space="preserve"> (Defensor del Pueblo, informes de 2014, 2015 y 2017)</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t xml:space="preserve"> (Ministerio de Sanidad, listas de espera, diciembre de 2025; Ministerio de Sanidad, SISLE-SNS, datos por comunidades a 31-XII-2025)</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t xml:space="preserve"> (INE 2024; Fundación Cotec; Eurostat, rd_e_gerdtot)</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t xml:space="preserve"> (TJUE (Sala Octava), sentencia de 25-VII-2018, asunto C-205/17, fallo, extracto leído en EUR-Lex (CELEX 62017CJ0205); Ministerio para la Transición Ecológica, nota de prensa de 26-IX-2022, leída en el original; Comisión Europea, comunicado IP/26/838, abril de 2026, y nota de su Representación en España del 29-IV-2026)</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t xml:space="preserve"> (CGPJ, Estadística de Efectos de la Crisis Económica, 2025; STC 152/1988; STC 32/2019; STC 79/2024; STC 17/2026)</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t xml:space="preserve"> (Consejo de la Juventud de España, Observatorio de Emancipación, informe de 2025 (publicado mayo de 2026))</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t xml:space="preserve"> (La Moncloa, nota de 18-1-2024)</w:t>
      </w:r>
      <w:r>
        <w:t xml:space="preserve">, y actualizó su redacción sobre los derechos de las personas con discapacidad (el dato, en </w:t>
      </w:r>
      <w:r>
        <w:t>7.2</w:t>
      </w:r>
      <w:r>
        <w:t>, n.º 14).</w:t>
      </w:r>
      <w:r>
        <w:t xml:space="preserve"> (BOE-A-2024-3099 (reforma del art. 49 CE); La Moncloa, nota sobre la reforma de 2024)</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t xml:space="preserve"> (RDL 28/2012; STC 95/2015, de 14-V; STC 49/2015)</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t xml:space="preserve"> (STS 241/2013, de 9-V-2013, Sala de lo Civil, Rec. 485/2012 (ECLI:ES:TS:2013:1916); TJUE, sentencia de 21-XII-2016 (asuntos C-154/15, C-307/15, C-308/15); estimación de las entidades al cierre de 2016)</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t xml:space="preserve"> (Ley 12/2014, de 9-VII; STC 132/1989, de 18-VII)</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t xml:space="preserve"> (STC 152/1988, de 20-VII; STC 32/2019; STC 79/2024; STC 17/2026, de 24-II)</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t xml:space="preserve"> (Art. 30.1 y 30.2, LO 3/1981, del Defensor del Pueblo)</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t xml:space="preserve"> (STC 148/2021, de 14-VII (BOE-A-2021-13032); STC 183/2021, de 27-X)</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t xml:space="preserve"> (Revista de Derecho Político, UNED (2023); STC 98/2019, de 17-VII, FJ 3.c)</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t xml:space="preserve"> (LO 3/2014, de 18-VI (BOE núm. 148, de 19-VI-2014); reserva de España de 16-XII-1983 a la Convención sobre la mujer (BOE núm. 69, de 21-III-1984))</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t xml:space="preserve"> (casareal.es, agenda y biografía de la Reina)</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t xml:space="preserve"> (Art. 59 CE; ausencia de ley de desarrollo)</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t xml:space="preserve"> (Art. 60 CE; ausencia de ley de desarrollo)</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t xml:space="preserve"> (LO 3/2014 (BOE núm. 148, de 19-VI-2014); Cortes Generales, Diario de Sesiones, sesión solemne de 19-VI-2014)</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t xml:space="preserve"> (STS Pleno, 20-XI-2013, rec. 13/2013; STS 1.008/2025, de 16-VII-2025; Fundación CIVIO)</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t xml:space="preserve"> (LO 5/2005, de Defensa Nacional; doctrina jurídica especializada)</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t xml:space="preserve"> (Constitución, art. 64.1; BOE-A-2019-13558)</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t xml:space="preserve"> (Tribunal de Cuentas, informe de 2026)</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t xml:space="preserve"> (REMCO, informe sobre el coste de las jefaturas del Estado (marzo de 2026); fuente secundaria)</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t xml:space="preserve"> (BOE, «Referencias posteriores» de cada decreto-ley)</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t xml:space="preserve"> (ATC 147/1982, de 22-IV; sinopsis oficial del Congreso de los Diputados)</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t xml:space="preserve"> (Pacto Antitransfuguismo (1998, III Adenda 2020); doctrina del Tribunal Constitucional sobre el mandato representativo (STC 10/1983 y jurisprudencia posterior) -no se ha podido confirmar una STS de 27-X-2020 relacionada con este caso concreto; existe una sentencia de esa misma fecha, pero sobre concejales tránsfugas municipales, un asunto distinto-)</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t xml:space="preserve"> (Ministerio del Interior, resultados oficiales de las elecciones generales de julio de 2023; cálculo de la obra)</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t xml:space="preserve"> (Art. 69.2 CE; datos poblacionales del INE (aproximación razonada))</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t xml:space="preserve"> (Acuerdo JEC de 3-I-2020; STS 459/2019; STC 31/2024 (BOE-A-2024-6673); STC 45/2024 (BOE-A-2024-8188); TJUE C-502/19; STS 572/2021, de 28-IV-2021 (recurso del Parlament de Catalunya contra el Acuerdo de la JEC de 3-I-2020); STS 132/2023, de 2-II-2023 (rec. 95/2022, Presidenta de la Comunidad de Madrid contra el Acuerdo 390/2021 de la JEC); STS 444/2023, de 30-III-2023 (rec. 66/2022, pérdida de credencial de un diputado del Parlament por inelegibilidad sobrevenida))</w:t>
      </w:r>
    </w:p>
    <w:p>
      <w:r>
        <w:t>Cada caso con su fecha y su recurso está en el nivel completo.</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t xml:space="preserve"> (Congreso, sinopsis oficial del art. 71 CE)</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t xml:space="preserve"> (HayDerecho, 2024; fuente secundaria)</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t xml:space="preserve"> (HayDerecho, 2024, que da el título y la lista de comunidades)</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t xml:space="preserve"> (Real Decreto 977/2015, de 26 de octubre (disolución de las Cortes); Real Decreto 1167/2015 (cese del Gobierno))</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t xml:space="preserve"> (Sinopsis oficial del Congreso; art. 166 del Reglamento del Congreso; arts. 137-140 del Reglamento del Senado)</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t xml:space="preserve"> (Congreso, sinopsis oficial del art. 75 CE)</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t xml:space="preserve"> (Art. 502.1 CP; art. 399.1 LOPJ; archivo del TS de julio de 2016)</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t xml:space="preserve"> (Political Watch, estudio y blog de 3-II-2026; fuente secundaria)</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t xml:space="preserve"> (Political Watch, «El derecho de petición en el contexto digital» (M. Á. Gonzalo y B. Agüero), 3-II-2026, con financiación de Red.es)</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t xml:space="preserve"> (Real Decreto 400/2023, de 29 de mayo, art. 5; art. 78.2 CE)</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t xml:space="preserve"> (voto telemático del 3-II-2022; RDL 32/2021)</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t xml:space="preserve"> (Congreso, sinopsis oficial del art. 80 CE)</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t xml:space="preserve"> (STC 108/1986; STC 128/2023; STC 94/2023; STC 139/2024)</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t xml:space="preserve"> (STS de 9-II-2000 (Sala Tercera, recurso 486/1996; BOE-A-2000-5906, publicación de la sentencia); STC 166/2007, de 4-VII (BOE-T-2007-14794))</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t xml:space="preserve"> (Congreso, sinopsis oficial del art. 83 CE)</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t xml:space="preserve"> (Comentario oficial al art. 84 CE, Portal de la Constitución (Congreso de los Diputados); Reglamento del Senado, art. 128)</w:t>
      </w:r>
    </w:p>
    <w:p>
      <w:r>
        <w:t>El procedimiento del Reglamento del Senado (art. 128) está en el nivel completo.</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t xml:space="preserve"> (BOE, base de datos abiertos (título y fecha de cada texto))</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t xml:space="preserve"> (recuento de la obra sobre los datos abiertos del BOE 2012-2026; RDL 7/2025; RDL 8/2026; STC 111/1983)</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t xml:space="preserve"> (STC 111/1983; STC 182/1997 (fallo: nulidad del art. 2 RDL 5/1992); STC 73/2017 (nulidad de la amnistía fiscal, RDL 12/2012); STC 9/2023 y STC 17/2023)</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t xml:space="preserve"> (STC 61/2018, de 7-VI; STC 14/2020, de 28-I (BOE-A-2020-2941); cifras de decretos-leyes y leyes de la legislatura: Artículo14, 15-VIII-2026)</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t xml:space="preserve"> (BOE-A-2023-18907, resultados de las elecciones del 23-VII-2023 (censo de 37.469.458 electores))</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t xml:space="preserve"> (RD 931/2017, de 27-X)</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t xml:space="preserve"> (Comentario oficial al art. 89 CE, Portal de la Constitución (Congreso de los Diputados); art. 89.2 CE; Reglamentos del Congreso (art. 125) y del Senado (art. 108.5))</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t xml:space="preserve"> (Ley de Amnistía (2024); Diario de Sesiones del Senado, 14-X-2024; BOCG n.º 165; Mesa del Congreso, 15-X-2024; conflicto n.º 9110-2024)</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t xml:space="preserve"> (Congreso, sinopsis oficial del art. 91 CE)</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t xml:space="preserve"> (Resultados oficiales de los referéndums de 1986 y 2005)</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t xml:space="preserve"> (DTC 1/2004, de 13-XII; STC 26/2014 (caso Melloni))</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t xml:space="preserve"> (Oficina del Parlamento Europeo en España, 14-VIII-2025)</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t xml:space="preserve"> (DTC 1/1992, de 1-VII; DTC 1/2004, de 13-XII; Declaración 1/2025, de 16-XII-2025 (BOE-A-2026-1759); declaración del Pleno de 23-IX-2026 sobre el Tratado de Amistad y Cooperación con Francia)</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t xml:space="preserve"> (Art. 96.1 CE, segundo inciso (texto consolidado, boe.es); no se ha localizado ningún caso de contravención pese a la búsqueda)</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t xml:space="preserve"> (STSJ Madrid 185/2024, de 11-IV (el TS inadmitió el recurso de casación del Ayuntamiento por auto de 12-III-2025, quedando firme la nulidad); STS 1264/2024, de 15-VII (BOE-A-2024-18114); STS 527/2026, de 29-IV (rec. 671/2024, BOE-A-2026-11850); STS 868/2026, de 8-VII-2026, sobre el RD 1155/2024 (BOE-A-2026-19632). Otra sentencia posterior de la Sala Tercera, de 29-VII-2026 (recurso 21/2025, Cáritas Española y CEAR; BOE-A-2026-19633), mantuvo la nulidad del art. 197.2 y desestimó el resto de impugnaciones)</w:t>
      </w:r>
    </w:p>
    <w:p>
      <w:r>
        <w:t>Las sentencias con su fecha, su número y su recurso están en el nivel completo.</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t xml:space="preserve"> (Comisión Europea, Informe sobre el Estado de Derecho 2026)</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t xml:space="preserve"> (Congreso, sinopsis oficial del art. 99 CE)</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t xml:space="preserve"> (BOE, RD 184/2016 y RD 551/2019; LO 2/2016, de 31-X (BOE de 1-XI-2016))</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t xml:space="preserve"> (BOE, cese del ministro de Sanidad, 27-I-2021)</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t>(reseña de doctrina sobre la STS de 2-XII-2005; fuente secundaria)</w:t>
      </w:r>
      <w:r>
        <w:t>.</w:t>
      </w:r>
      <w:r>
        <w:t xml:space="preserve"> (STC 124/2018, de 14-XI; STS de 20-IX-2005 y STS de 2-XII-2005)</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t xml:space="preserve"> (STS 2/1998, de 29-VII-1998 (Sala Segunda, causa especial 2530/1995); STC 68/2001, de 17-III-2001 (recurso de amparo 3860/98, Pleno, BOE-T-2001-6813); TEDH, demanda 74181/01, sentencia de 6-I-2010)</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t xml:space="preserve"> (Ley 20/2021; STJUE de 14-IV-2026, asunto C-418/24 («asunto Obadal»))</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t xml:space="preserve"> (TEDH, demanda nº 41462/17, sentencia de 6-X-2020; sentencia condenatoria del TS a un mando de la Ertzaintza (número de sentencia no localizado))</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t xml:space="preserve"> (CTBG, Memoria 2025 (BOE de 31-VIII-2026))</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t xml:space="preserve"> (un magistrado del Tribunal Supremo, con datos del Ministerio de Justicia; fuente secundaria)</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t xml:space="preserve"> (STS de 18-VI-2026; Ministerio de Justicia, datos 2000-2019)</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t xml:space="preserve"> (Consejo de Estado, Memorias de 2023 y de 2024)</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t xml:space="preserve"> (Sinopsis oficial del Congreso de los Diputados sobre el art. 108 CE)</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t xml:space="preserve"> (CGPJ, nota de prensa sobre STS ECLI:ES:TS:2022:399 (Sala 3ª); Secretaría General del Congreso, nota sobre el deber de facilitar documentación al Congreso conforme al artículo 7.º del Reglamento de la Cámara, Revista de las Cortes Generales, núm. 5 (1985), pp. 231-240)</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t xml:space="preserve"> (Congreso, sinopsis oficial del art. 111 CE)</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t xml:space="preserve"> (Maldita.es y Qué hacen los diputados, 28-IV-2023; fuente secundaria)</w:t>
      </w:r>
      <w:r>
        <w:t xml:space="preserve"> A 23-IV-2026 había 726 preguntas sin responder pasados los 40 días, de más de 40.000 registradas en la legislatura en curso.</w:t>
      </w:r>
      <w:r>
        <w:t xml:space="preserve"> (Newtral, 6-V-2026; fuente secundaria)</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t xml:space="preserve"> (Congreso, ficha de la pregunta 184/029356, XIV Legislatura, consultada el 8-oct-2026)</w:t>
      </w:r>
      <w:r>
        <w:t>, pero entre sus datos abiertos de iniciativas, que son cuatro conjuntos (iniciativas legislativas aprobadas, proyectos de ley, propuestas de reforma de estatuto de autonomía y proposiciones de ley), no figuran las preguntas escritas</w:t>
      </w:r>
      <w:r>
        <w:t xml:space="preserve"> (Congreso, datos abiertos de iniciativas, consultados el 8-oct-2026)</w:t>
      </w:r>
      <w:r>
        <w:t>. Las cifras de plazos que se han podido leer son de terceros.</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t xml:space="preserve"> (Congreso, sinopsis oficial del art. 112 CE)</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t xml:space="preserve"> (Datos históricos completos de las seis mociones de censura (Statista))</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t xml:space="preserve"> (Congreso, sinopsis oficial de los arts. 101 y 113 CE)</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t xml:space="preserve"> (Blog oficial del Congreso de los Diputados; Revista de Derecho Político (UNED); Congreso, sinopsis oficial del art. 115 CE)</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t xml:space="preserve"> (STC 148/2021, de 14-VII; STC 183/2021, de 27-X)</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t xml:space="preserve"> (CGPJ, «La Justicia dato a dato 2025»; CGPJ, «Datos de Justicia» n.º 40, nota de 14-VII-2015; STSJ de Andalucía de 1-II-2002, rollo 29/2001 (fallo transcrito en la STS 279/2003, leída en el original); STS 279/2003, de 12-III (Sala Segunda, casación 459/2002, leída en el original))</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t xml:space="preserve"> (Comisión Europea, Informe sobre el Estado de Derecho 2026, documento de trabajo SWD(2026) 909, de 17-VII-2026, capítulo de España, apartado «Recomendaciones» (leído en el original))</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t xml:space="preserve"> (STS 162/2022, de 9-II (Sala de lo Contencioso, recurso 7128/2020, fundamento 5.º))</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t xml:space="preserve"> (Asociación de Letrados por un Turno de Oficio Digno (ALTODO); Orden de Canarias de 25-VIII-2025)</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t xml:space="preserve"> (CGPJ, informe de 2025; TEDH, sentencia de 25-XI-2003)</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t xml:space="preserve"> (STS 1484/2019, de 6-V; art. 293 LOPJ)</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t xml:space="preserve"> (Comisión Europea, informes 2022, 2023 y 2024 sobre el Estado de Derecho)</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t xml:space="preserve"> (LO 1/2025 (jurisdicciones social y penal), preámbulo; RDL 5/2023, de 28-VI (art. 477 LEC, jurisdicción civil))</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t xml:space="preserve"> (STS 1000/2025, Sala Segunda, Causa Especial 3/20557/2024, de 9-XII-2025 (firme 26-II-2026))</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t xml:space="preserve"> (STS 1045/2007, de 17-XII; STS 54/2008, de 8-IV; STC 205/2013, de 5-XII (avaló la doctrina Atutxa))</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t xml:space="preserve"> (Jueces para la Democracia (1991); RD 769/1987, de 19-VI)</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t xml:space="preserve"> (Búsqueda sin hallazgos de sanciones por esta causa)</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t xml:space="preserve"> (FROB, cronología de la intervención de BFA-Bankia (2012-2025))</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t xml:space="preserve"> (CEPES, nota de prensa (VII-2024); Comisión Internacional de Personas Expertas sobre la Democracia en el Trabajo (Ministerio de Trabajo y Economía Social), «Dos promesas a quienes trabajan: voz y propiedad», presentada el 2-II-2026)</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t xml:space="preserve"> (Banco de España, «La distribución espacial de la población en España y sus implicaciones económicas» (Informe Anual 2020, publ. 2021); Fundación «la Caixa» (Observatorio Social), «Más allá de la «España vaciada»: cambio climático, despoblación y globalización en las zonas rurales» (UAB))</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t xml:space="preserve"> (Sinopsis oficial del Congreso; STC 76/1983; RDL 36/2020)</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t xml:space="preserve"> (resumen doctrinal sobre la Ley de Costas; fuente secundaria)</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t xml:space="preserve"> (Ley 22/1988, de Costas; STC 149/1991, de 4-VII (BOE-T-1991-19353; fallo leído en el original))</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t xml:space="preserve"> (AEDAF, «50 años de evolución impositiva: avanzando juntos, superando barreras» (2019, aedaf.es/es/documentos/descarga/44858); STC 149/2023, de 7-XI (rec. 616-2023; HJ 29821))</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t xml:space="preserve"> (Instituto de Estudios Económicos (IEE); IGAE, ejecución presupuestaria 2025; BOE, leyes de presupuestos (base de datos abiertos))</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t xml:space="preserve"> (Banco de España, deuda de las Administraciones Públicas, mayo de 2026 (nota de 17-VII-2026); Eurostat, gov_10a_exp y gov_10dd_edpt1, 2024)</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t xml:space="preserve"> (BOE núm. 5, 6-I-2023, BOE-A-2023-440)</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t xml:space="preserve"> (Tribunal de Cuentas, Informe de la Revisión entre Pares, junio de 2015, págs. 10, 11 y 29)</w:t>
      </w:r>
      <w:r>
        <w:t xml:space="preserve"> Un análisis jurídico de 2024 añade que el informe anual del Tribunal no tiene el contenido que prevé la ley.</w:t>
      </w:r>
      <w:r>
        <w:t xml:space="preserve"> (HayDerecho, 15-I-2024; fuente secundaria)</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Las transferencias suman el 35,8 % de los ingresos de los gobiernos locales, y las del Estado, el 20,25 %.</w:t>
      </w:r>
      <w:r>
        <w:t xml:space="preserve"> (Congreso de Autoridades Locales y Regionales del Consejo de Europa, informe CG(2021)41-07 que acompaña a la Recomendación 465 (2021), §§ 78, 215, 225 y 294)</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t xml:space="preserve"> (Comisión Bilateral Generalitat-Estado, acuerdo de 14-VII-2025; Gestha)</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t xml:space="preserve"> (Gaceta Sanitaria (2016); Defensor del Pueblo; Ministerio de Sanidad, SISLE-SNS (31-XII-2025))</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t xml:space="preserve"> (STC 79/2017, de 22-VI; STC 111/2017, de 5-X)</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t xml:space="preserve"> (Ley 27/2013 (BOE-A-2013-13756); STC 41/2016 (BOE-A-2016-3407, fallo leído en el original); STC 111/2016, de 9-VI (rec. 1959-2014; título leído, fallo sin leer))</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t xml:space="preserve"> (REALA n.º 23, INAP, 2025; fuente secundaria)</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t xml:space="preserve"> (Martín-Retortillo Baquer (1991); STC 31/2010, de 28-VI)</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t xml:space="preserve"> (Instituto Nacional de Administración Pública (INAP); FEMP)</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t xml:space="preserve"> (Sinopsis oficial del Congreso sobre los arts. 143 y 148 CE)</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t xml:space="preserve"> (la consejera de Presidencia y Administración Pública de Melilla, declaraciones en sesión de control al Gobierno de Melilla, enero de 2025 (recogidas por ceutatv.com, 3-II-2025); LO 1/1995 (BOE-A-1995-6358) y LO 2/1995 (BOE-A-1995-6359); fecha de los Acuerdos Autonómicos: Hernández Lafuente (2023), fuente secundaria)</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t xml:space="preserve"> (STC 44/1986, de 17-IV; análisis académico sobre convenios interautonómicos)</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t xml:space="preserve"> (LO 12/1980, de 16-XII; análisis jurídico sobre el «caso Almería»; LO 2/2007 (preámbulo) y LO 6/1981)</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t xml:space="preserve"> (STC 31/2010, de 28-VI (BOE-A-2010-11409))</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t xml:space="preserve"> (Hooghe, Marks, Schakel, Chapman Osterkatz, Niedzwiecki y Shair-Rosenfield, libro de 2016 (Oxford University Press), según la reseña de decentralization.net; libro de códigos de 2021; fuente secundaria)</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t xml:space="preserve"> (STC 79/2024 (BOE-A-2024-12808); STC 44/2026 (BOE-A-2026-14760); STC 17/2026 (BOE-A-2026-7119); STC 26/2025, de 29-I-2025 (BOE-A-2025-4079, recurso 5514-2023, más de cincuenta diputados del Grupo Popular contra la Ley 12/2023 de vivienda) y STC 190/2025, de 16-XII-2025 (BOE-A-2026-1756, recurso 5516-2023, Consejo de Gobierno de las Illes Balears contra la misma ley) -ambas sobre la Ley estatal 12/2023, no sobre una ley autonómica catalana-)</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t xml:space="preserve"> (STC 118/1996 (BOE-T-1996-17381); STC 61/1997 (BOE-T-1997-8872); STC 147/1991, de 4-VII-1991 (BOE-T-1991-19351, Pleno, conflictos positivos de competencia acumulados 384/1985, 407/1985 y 340/1989))</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t xml:space="preserve"> (Sinopsis oficial del Congreso sobre las vías de acceso a la autonomía)</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t xml:space="preserve"> (CGPJ, La Justicia dato a dato 2025)</w:t>
      </w:r>
      <w:r>
        <w:t>.</w:t>
      </w:r>
      <w:r>
        <w:t xml:space="preserve"> (CGPJ, La Justicia dato a dato 2025, datos por Tribunal Superior de Justicia)</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t xml:space="preserve"> (Memoria del Tribunal Constitucional, 2018 (tribunalconstitucional.es); cifra citada por Noticias Jurídicas, TheObjective y El Derecho)</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t xml:space="preserve"> (Julio Ponce, «Los delegados del Gobierno en España (1997-2018)», Historia y Política n.º 44 (2020))</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t xml:space="preserve"> (J. M. Lafuente Balle, Revista de Derecho Político (UNED), n.º 102 (2018))</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t xml:space="preserve"> (Estudios sobre corresponsabilidad fiscal autonómica; Ley 22/2009)</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t xml:space="preserve"> (AEDAF, «50 años de evolución impositiva»)</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t xml:space="preserve"> (Comité de Inversiones Públicas del Ministerio de Hacienda; Ley 29/1990)</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t xml:space="preserve"> (Constitución, art. 159.1)</w:t>
      </w:r>
      <w:r>
        <w:t>. Tres de ellos fueron nombrados por los Reales Decretos 260, 262 y 263/2017, de 10 de marzo de 2017, y el cargo dura nueve años</w:t>
      </w:r>
      <w:r>
        <w:t xml:space="preserve"> (Constitución, art. 159.3; Ley Orgánica 2/1979, art. 16.3)</w:t>
      </w:r>
      <w:r>
        <w:t>: el suyo se cumplió el 10 de marzo de 2026. El cuarto fue nombrado por el Real Decreto 757/2024, de 29 de julio, para cubrir una vacante, y la ley lo nombra «por el tiempo que a éste restase»</w:t>
      </w:r>
      <w:r>
        <w:t xml:space="preserve"> (Ley Orgánica 2/1979, art. 16.5; BOE, Real Decreto 757/2024 (BOE-A-2024-15661))</w:t>
      </w:r>
      <w:r>
        <w:t>; el decreto no dice qué vacante cubre. A 21 de septiembre de 2026, los cuatro seguían en la lista de magistrados del Tribunal, porque la ley les deja continuar «hasta que hayan tomado posesión quienes hubieren de sucederles»</w:t>
      </w:r>
      <w:r>
        <w:t xml:space="preserve"> (Ley Orgánica 2/1979, art. 17.2; Tribunal Constitucional, fichas de los magistrados, leídas el 7-X-2026 con la información a 21-IX-2026)</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t xml:space="preserve"> (Tribunal Constitucional, Auto 177/2022, de 19-XII-2022, amparo 8263-2022 (BOE núm. 17, de 20-I-2023, BOE-A-2023-1773))</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t xml:space="preserve"> (Congreso, sinopsis oficial del art. 161 CE)</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t xml:space="preserve"> (Memoria del Tribunal Constitucional, 2020; STC 42/1985, de 15-III; STC 150/1990, de 4-X; ATC 155/2022 (HJ 29152; cita leída en el original, las dos sentencias solo a través de él). El ATC 874/1985, citado antes en la obra, trata de otra cuestión (retirada de la firma de un diputado) y se retira como fuente)</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t xml:space="preserve"> (Memoria del Tribunal Constitucional, 2024)</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t xml:space="preserve"> (AATC 141/2016, 170/2016, 24/2017 (BOE-A-2017-3258) y 123/2017 (BOE-A-2017-10826); STC 185/2016 (BOE-A-2016-11818); STC 215/2016 (BOE-A-2017-650))</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t xml:space="preserve"> (LO 4/2021; LO 8/2022; STC 128/2023; STC 139/2024; voto particular en la STC 153/2024)</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t xml:space="preserve"> (Registro del Congreso de los Diputados; Revista de Derecho Político (UNED), n.º 121 (2024))</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t xml:space="preserve"> (Congreso, sinopsis oficial del art. 167 CE; BOE-A-1992-20403; BOE-A-2011-15210; BOE-A-2024-3099; BOE-A-2026-10881 (reforma del art. 69.3 CE, de 19 de mayo de 2026))</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t xml:space="preserve"> (Congreso, sinopsis oficial de los arts. 167 y 168 CE)</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t xml:space="preserve"> (Congreso, sinopsis oficial de los arts. 167 y 169 CE)</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A. La auditoría completa de la Constitución: los 169 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A. La auditoría completa de la Constitución: los 169 artículos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