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rPr>
          <w:vertAlign w:val="superscript"/>
        </w:rPr>
        <w:t>◦</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rPr>
          <w:vertAlign w:val="superscript"/>
        </w:rPr>
        <w:t>◦</w:t>
      </w:r>
      <w:r>
        <w:t>.</w:t>
      </w:r>
    </w:p>
    <w:p>
      <w:pPr>
        <w:pStyle w:val="ListBullet"/>
      </w:pPr>
      <w:r>
        <w:rPr>
          <w:i/>
        </w:rPr>
        <w:t>Necessitas non habet legem</w:t>
      </w:r>
      <w:r>
        <w:t xml:space="preserve"> («la necesidad no tiene ley, sino que ella misma se hace su ley»)</w:t>
      </w:r>
      <w:r>
        <w:rPr>
          <w:vertAlign w:val="superscript"/>
        </w:rPr>
        <w:t>◦</w:t>
      </w:r>
      <w:r>
        <w:t>.</w:t>
      </w:r>
    </w:p>
    <w:p>
      <w:pPr>
        <w:pStyle w:val="ListBullet"/>
      </w:pPr>
      <w:r>
        <w:rPr>
          <w:i/>
        </w:rPr>
        <w:t>Quod ad ius naturale attinet, omnes homines aequales sunt</w:t>
      </w:r>
      <w:r>
        <w:t xml:space="preserve"> («en lo que atañe al derecho natural, todos los hombres son iguales»)</w:t>
      </w:r>
      <w:r>
        <w:rPr>
          <w:vertAlign w:val="superscript"/>
        </w:rPr>
        <w:t>◦</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rPr>
          <w:vertAlign w:val="superscript"/>
        </w:rPr>
        <w:t>◦</w:t>
      </w:r>
      <w:r>
        <w:t>.</w:t>
      </w:r>
    </w:p>
    <w:p>
      <w:pPr>
        <w:pStyle w:val="ListBullet"/>
      </w:pPr>
      <w:r>
        <w:rPr>
          <w:i/>
        </w:rPr>
        <w:t>Summum ius, summa iniuria</w:t>
      </w:r>
      <w:r>
        <w:t xml:space="preserve"> («excesivo derecho, excesiva injusticia»)</w:t>
      </w:r>
      <w:r>
        <w:rPr>
          <w:vertAlign w:val="superscript"/>
        </w:rPr>
        <w:t>◦</w:t>
      </w:r>
      <w:r>
        <w:t>.</w:t>
      </w:r>
    </w:p>
    <w:p>
      <w:pPr>
        <w:pStyle w:val="ListBullet"/>
      </w:pPr>
      <w:r>
        <w:rPr>
          <w:i/>
        </w:rPr>
        <w:t>Honeste vivere, alterum non laedere, suum cuique tribuere</w:t>
      </w:r>
      <w:r>
        <w:t xml:space="preserve"> («vivir honestamente, no dañar a otro, dar a cada uno lo suyo»): los preceptos del derecho</w:t>
      </w:r>
      <w:r>
        <w:rPr>
          <w:vertAlign w:val="superscript"/>
        </w:rPr>
        <w:t>◦</w:t>
      </w:r>
      <w:r>
        <w:t>.</w:t>
      </w:r>
    </w:p>
    <w:p>
      <w:pPr>
        <w:pStyle w:val="ListBullet"/>
      </w:pPr>
      <w:r>
        <w:rPr>
          <w:i/>
        </w:rPr>
        <w:t>Ius est ars boni et aequi</w:t>
      </w:r>
      <w:r>
        <w:t xml:space="preserve"> («el derecho es el arte de lo bueno y lo equitativo»), la definición de Celso con que se abre el Digesto</w:t>
      </w:r>
      <w:r>
        <w:rPr>
          <w:vertAlign w:val="superscript"/>
        </w:rPr>
        <w:t>◦</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rPr>
          <w:vertAlign w:val="superscript"/>
        </w:rPr>
        <w:t>◦</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rPr>
          <w:vertAlign w:val="superscript"/>
        </w:rPr>
        <w:t>◦</w:t>
      </w:r>
      <w:r>
        <w:t>.</w:t>
      </w:r>
    </w:p>
    <w:p>
      <w:pPr>
        <w:pStyle w:val="Heading3"/>
      </w:pPr>
      <w:r>
        <w:t>Debido proceso y protección de la persona</w:t>
      </w:r>
    </w:p>
    <w:p>
      <w:pPr>
        <w:pStyle w:val="ListBullet"/>
      </w:pPr>
      <w:r>
        <w:rPr>
          <w:i/>
        </w:rPr>
        <w:t>In dubio pro reo</w:t>
      </w:r>
      <w:r>
        <w:t xml:space="preserve"> («en caso de duda, a favor del reo»)</w:t>
      </w:r>
      <w:r>
        <w:rPr>
          <w:vertAlign w:val="superscript"/>
        </w:rPr>
        <w:t>◦</w:t>
      </w:r>
      <w:r>
        <w:t>. Con esas palabras no está en el Digesto; el diccionario la relaciona con Gayo: se debe favorecer más a los reos que a los actores</w:t>
      </w:r>
      <w:r>
        <w:rPr>
          <w:vertAlign w:val="superscript"/>
        </w:rPr>
        <w:t>◦</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rPr>
          <w:vertAlign w:val="superscript"/>
        </w:rPr>
        <w:t>◦</w:t>
      </w:r>
      <w:r>
        <w:t>.</w:t>
      </w:r>
    </w:p>
    <w:p>
      <w:pPr>
        <w:pStyle w:val="ListBullet"/>
      </w:pPr>
      <w:r>
        <w:rPr>
          <w:i/>
        </w:rPr>
        <w:t>Audi alteram partem</w:t>
      </w:r>
      <w:r>
        <w:t xml:space="preserve"> («óigase a la otra parte»), entre las reglas de la justicia</w:t>
      </w:r>
      <w:r>
        <w:rPr>
          <w:vertAlign w:val="superscript"/>
        </w:rPr>
        <w:t>◦</w:t>
      </w:r>
      <w:r>
        <w:t>. Su raíz romana, con otras palabras: quien decide algo sin oír a la otra parte, aunque decida lo justo, no fue justo</w:t>
      </w:r>
      <w:r>
        <w:rPr>
          <w:vertAlign w:val="superscript"/>
        </w:rPr>
        <w:t>◦</w:t>
      </w:r>
      <w:r>
        <w:t>.</w:t>
      </w:r>
    </w:p>
    <w:p>
      <w:pPr>
        <w:pStyle w:val="ListBullet"/>
      </w:pPr>
      <w:r>
        <w:rPr>
          <w:i/>
        </w:rPr>
        <w:t>Nullum crimen nulla poena sine lege</w:t>
      </w:r>
      <w:r>
        <w:t xml:space="preserve"> («no hay delito ni hay pena sin ley»)</w:t>
      </w:r>
      <w:r>
        <w:rPr>
          <w:vertAlign w:val="superscript"/>
        </w:rPr>
        <w:t>◦</w:t>
      </w:r>
      <w:r>
        <w:t xml:space="preserve">; la pieza la citaba solo con la pena, </w:t>
      </w:r>
      <w:r>
        <w:rPr>
          <w:i/>
        </w:rPr>
        <w:t>nulla poena sine lege</w:t>
      </w:r>
      <w:r>
        <w:t>, que el diccionario cuenta entre los tres principios del derecho penal que enunció Feuerbach</w:t>
      </w:r>
      <w:r>
        <w:rPr>
          <w:vertAlign w:val="superscript"/>
        </w:rPr>
        <w:t>◦</w:t>
      </w:r>
      <w:r>
        <w:t>. El principio está en la Declaración de 1789: nadie puede ser castigado sino en virtud de una ley establecida y promulgada antes del delito</w:t>
      </w:r>
      <w:r>
        <w:rPr>
          <w:vertAlign w:val="superscript"/>
        </w:rPr>
        <w:t>◦</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rPr>
          <w:vertAlign w:val="superscript"/>
        </w:rPr>
        <w:t>◦</w:t>
      </w:r>
      <w:r>
        <w:t xml:space="preserve">; con la forma </w:t>
      </w:r>
      <w:r>
        <w:rPr>
          <w:i/>
        </w:rPr>
        <w:t>nemo debet esse judex in propria sua causa</w:t>
      </w:r>
      <w:r>
        <w:t>, la recoge la Britannica, que cita a Coke</w:t>
      </w:r>
      <w:r>
        <w:rPr>
          <w:vertAlign w:val="superscript"/>
        </w:rPr>
        <w:t>◦</w:t>
      </w:r>
      <w:r>
        <w:t>.</w:t>
      </w:r>
    </w:p>
    <w:p>
      <w:pPr>
        <w:pStyle w:val="ListBullet"/>
      </w:pPr>
      <w:r>
        <w:rPr>
          <w:i/>
        </w:rPr>
        <w:t>Non bis in idem</w:t>
      </w:r>
      <w:r>
        <w:t xml:space="preserve"> («no dos veces por lo mismo»)</w:t>
      </w:r>
      <w:r>
        <w:rPr>
          <w:vertAlign w:val="superscript"/>
        </w:rPr>
        <w:t>◦</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rPr>
          <w:vertAlign w:val="superscript"/>
        </w:rPr>
        <w:t>◦</w:t>
      </w:r>
      <w:r>
        <w:t>.</w:t>
      </w:r>
    </w:p>
    <w:p>
      <w:pPr>
        <w:pStyle w:val="ListBullet"/>
      </w:pPr>
      <w:r>
        <w:rPr>
          <w:i/>
        </w:rPr>
        <w:t>Ad impossibilia nemo tenetur</w:t>
      </w:r>
      <w:r>
        <w:t xml:space="preserve"> («nadie está obligado a cosas imposibles»)</w:t>
      </w:r>
      <w:r>
        <w:rPr>
          <w:vertAlign w:val="superscript"/>
        </w:rPr>
        <w:t>◦</w:t>
      </w:r>
      <w:r>
        <w:t>. Las palabras de Celso son otras: no hay obligación de cosas imposibles</w:t>
      </w:r>
      <w:r>
        <w:rPr>
          <w:vertAlign w:val="superscript"/>
        </w:rPr>
        <w:t>◦</w:t>
      </w:r>
      <w:r>
        <w:t>.</w:t>
      </w:r>
    </w:p>
    <w:p>
      <w:pPr>
        <w:pStyle w:val="ListBullet"/>
      </w:pPr>
      <w:r>
        <w:rPr>
          <w:i/>
        </w:rPr>
        <w:t>Actus me invito factus, non est meus actus</w:t>
      </w:r>
      <w:r>
        <w:t xml:space="preserve"> («el acto hecho por mí contra mi voluntad no es mi acto»)</w:t>
      </w:r>
      <w:r>
        <w:rPr>
          <w:vertAlign w:val="superscript"/>
        </w:rPr>
        <w:t>◦</w:t>
      </w:r>
      <w:r>
        <w:t>.</w:t>
      </w:r>
    </w:p>
    <w:p>
      <w:pPr>
        <w:pStyle w:val="ListBullet"/>
      </w:pPr>
      <w:r>
        <w:rPr>
          <w:i/>
        </w:rPr>
        <w:t>Domus sua cuique est tutissimum refugium</w:t>
      </w:r>
      <w:r>
        <w:t xml:space="preserve"> («la casa de cada uno es su refugio más seguro»), de Edward Coke</w:t>
      </w:r>
      <w:r>
        <w:rPr>
          <w:vertAlign w:val="superscript"/>
        </w:rPr>
        <w:t>◦</w:t>
      </w:r>
      <w:r>
        <w:t>. Hoy, el domicilio es inviolable</w:t>
      </w:r>
      <w:r>
        <w:rPr>
          <w:vertAlign w:val="superscript"/>
        </w:rPr>
        <w:t>◦</w:t>
      </w:r>
      <w:r>
        <w:t>.</w:t>
      </w:r>
    </w:p>
    <w:p>
      <w:pPr>
        <w:pStyle w:val="ListBullet"/>
      </w:pPr>
      <w:r>
        <w:rPr>
          <w:i/>
        </w:rPr>
        <w:t>Iudices sententiae suae rationes adducant</w:t>
      </w:r>
      <w:r>
        <w:t xml:space="preserve"> («que los jueces den las razones de su sentencia»), un aforismo de Francis Bacon sobre los tribunales de equidad</w:t>
      </w:r>
      <w:r>
        <w:rPr>
          <w:vertAlign w:val="superscript"/>
        </w:rPr>
        <w:t>◦</w:t>
      </w:r>
      <w:r>
        <w:t>. Hoy, las sentencias serán siempre motivadas</w:t>
      </w:r>
      <w:r>
        <w:rPr>
          <w:vertAlign w:val="superscript"/>
        </w:rPr>
        <w:t>◦</w:t>
      </w:r>
      <w:r>
        <w:t>.</w:t>
      </w:r>
    </w:p>
    <w:p>
      <w:pPr>
        <w:pStyle w:val="ListBullet"/>
      </w:pPr>
      <w:r>
        <w:rPr>
          <w:i/>
        </w:rPr>
        <w:t>In dubio pro operario</w:t>
      </w:r>
      <w:r>
        <w:t xml:space="preserve"> («en caso de duda, a favor del trabajador»)</w:t>
      </w:r>
      <w:r>
        <w:rPr>
          <w:vertAlign w:val="superscript"/>
        </w:rPr>
        <w:t>◦</w:t>
      </w:r>
      <w:r>
        <w:t>.</w:t>
      </w:r>
    </w:p>
    <w:p>
      <w:pPr>
        <w:pStyle w:val="ListBullet"/>
      </w:pPr>
      <w:r>
        <w:rPr>
          <w:i/>
        </w:rPr>
        <w:t>Testis unus, testis nullus</w:t>
      </w:r>
      <w:r>
        <w:t xml:space="preserve"> («un testigo solo, testigo nulo»). La regla está en el derecho de la Iglesia: que ningún juez admita con facilidad el testimonio de uno solo</w:t>
      </w:r>
      <w:r>
        <w:rPr>
          <w:vertAlign w:val="superscript"/>
        </w:rPr>
        <w:t>◦</w:t>
      </w:r>
      <w:r>
        <w:t>.</w:t>
      </w:r>
    </w:p>
    <w:p>
      <w:pPr>
        <w:pStyle w:val="ListBullet"/>
      </w:pPr>
      <w:r>
        <w:rPr>
          <w:i/>
        </w:rPr>
        <w:t>Fiat iustitia et ruat caelum</w:t>
      </w:r>
      <w:r>
        <w:t xml:space="preserve"> («hágase justicia, aunque se hunda el cielo»)</w:t>
      </w:r>
      <w:r>
        <w:rPr>
          <w:vertAlign w:val="superscript"/>
        </w:rPr>
        <w:t>◦</w:t>
      </w:r>
      <w:r>
        <w:t>.</w:t>
      </w:r>
    </w:p>
    <w:p>
      <w:pPr>
        <w:pStyle w:val="Heading3"/>
      </w:pPr>
      <w:r>
        <w:t>Actos propios, consentimiento y buena fe</w:t>
      </w:r>
    </w:p>
    <w:p>
      <w:pPr>
        <w:pStyle w:val="ListBullet"/>
      </w:pPr>
      <w:r>
        <w:rPr>
          <w:i/>
        </w:rPr>
        <w:t>Pacta sunt servanda</w:t>
      </w:r>
      <w:r>
        <w:t xml:space="preserve"> («los pactos deben cumplirse»)</w:t>
      </w:r>
      <w:r>
        <w:rPr>
          <w:vertAlign w:val="superscript"/>
        </w:rPr>
        <w:t>◦</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rPr>
          <w:vertAlign w:val="superscript"/>
        </w:rPr>
        <w:t>◦</w:t>
      </w:r>
      <w:r>
        <w:t>.</w:t>
      </w:r>
    </w:p>
    <w:p>
      <w:pPr>
        <w:pStyle w:val="ListBullet"/>
      </w:pPr>
      <w:r>
        <w:rPr>
          <w:i/>
        </w:rPr>
        <w:t>Qui tacet, consentire videtur</w:t>
      </w:r>
      <w:r>
        <w:t xml:space="preserve"> («quien calla, parece consentir»), y su límite en la regla siguiente: el que calla no confiesa, pero tampoco se considera que niegue</w:t>
      </w:r>
      <w:r>
        <w:rPr>
          <w:vertAlign w:val="superscript"/>
        </w:rPr>
        <w:t>◦</w:t>
      </w:r>
      <w:r>
        <w:t>.</w:t>
      </w:r>
    </w:p>
    <w:p>
      <w:pPr>
        <w:pStyle w:val="ListBullet"/>
      </w:pPr>
      <w:r>
        <w:rPr>
          <w:i/>
        </w:rPr>
        <w:t>Volenti non fit iniuria</w:t>
      </w:r>
      <w:r>
        <w:t xml:space="preserve"> («no se comete injusticia con quien actuó voluntariamente»)</w:t>
      </w:r>
      <w:r>
        <w:rPr>
          <w:vertAlign w:val="superscript"/>
        </w:rPr>
        <w:t>◦</w:t>
      </w:r>
      <w:r>
        <w:t>.</w:t>
      </w:r>
    </w:p>
    <w:p>
      <w:pPr>
        <w:pStyle w:val="ListBullet"/>
      </w:pPr>
      <w:r>
        <w:rPr>
          <w:i/>
        </w:rPr>
        <w:t>Venire contra factum proprium non licet</w:t>
      </w:r>
      <w:r>
        <w:t xml:space="preserve"> («no es lícito ir contra los propios actos»): la doctrina de los actos propios, que ya está en las Decretales, con otras palabras</w:t>
      </w:r>
      <w:r>
        <w:rPr>
          <w:vertAlign w:val="superscript"/>
        </w:rPr>
        <w:t>◦</w:t>
      </w:r>
      <w:r>
        <w:t>.</w:t>
      </w:r>
    </w:p>
    <w:p>
      <w:pPr>
        <w:pStyle w:val="ListBullet"/>
      </w:pPr>
      <w:r>
        <w:rPr>
          <w:i/>
        </w:rPr>
        <w:t>Nemo auditur propriam turpitudinem allegans</w:t>
      </w:r>
      <w:r>
        <w:t xml:space="preserve"> («no se escuche a quien alega su propia torpeza»). Con otras palabras: quien alega su propia torpeza no debe ser oído</w:t>
      </w:r>
      <w:r>
        <w:rPr>
          <w:vertAlign w:val="superscript"/>
        </w:rPr>
        <w:t>◦</w:t>
      </w:r>
      <w:r>
        <w:t>.</w:t>
      </w:r>
    </w:p>
    <w:p>
      <w:pPr>
        <w:pStyle w:val="ListBullet"/>
      </w:pPr>
      <w:r>
        <w:rPr>
          <w:i/>
        </w:rPr>
        <w:t>Quod omnes tangit, ab omnibus approbari debet</w:t>
      </w:r>
      <w:r>
        <w:t xml:space="preserve"> («lo que a todos afecta, por todos debe ser aprobado»)</w:t>
      </w:r>
      <w:r>
        <w:rPr>
          <w:vertAlign w:val="superscript"/>
        </w:rPr>
        <w:t>◦</w:t>
      </w:r>
      <w:r>
        <w:t>.</w:t>
      </w:r>
    </w:p>
    <w:p>
      <w:pPr>
        <w:pStyle w:val="ListBullet"/>
      </w:pPr>
      <w:r>
        <w:rPr>
          <w:i/>
        </w:rPr>
        <w:t>Ignorantia iuris non excusat</w:t>
      </w:r>
      <w:r>
        <w:t xml:space="preserve"> («la ignorancia del derecho no excusa»)</w:t>
      </w:r>
      <w:r>
        <w:rPr>
          <w:vertAlign w:val="superscript"/>
        </w:rPr>
        <w:t>◦</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rPr>
          <w:vertAlign w:val="superscript"/>
        </w:rPr>
        <w:t>◦</w:t>
      </w:r>
      <w:r>
        <w:t>.</w:t>
      </w:r>
    </w:p>
    <w:p>
      <w:pPr>
        <w:pStyle w:val="ListBullet"/>
      </w:pPr>
      <w:r>
        <w:rPr>
          <w:i/>
        </w:rPr>
        <w:t>Nemo ex suo delicto meliorem suam condicionem facere potest</w:t>
      </w:r>
      <w:r>
        <w:t xml:space="preserve"> («nadie puede mejorar su condición por su propio delito»)</w:t>
      </w:r>
      <w:r>
        <w:rPr>
          <w:vertAlign w:val="superscript"/>
        </w:rPr>
        <w:t>◦</w:t>
      </w:r>
      <w:r>
        <w:t>.</w:t>
      </w:r>
    </w:p>
    <w:p>
      <w:pPr>
        <w:pStyle w:val="ListBullet"/>
      </w:pPr>
      <w:r>
        <w:rPr>
          <w:i/>
        </w:rPr>
        <w:t>Nemo damnum facit, nisi qui id fecit, quod facere ius non habet</w:t>
      </w:r>
      <w:r>
        <w:t xml:space="preserve"> («nadie causa daño, sino el que hizo lo que no tenía derecho a hacer»)</w:t>
      </w:r>
      <w:r>
        <w:rPr>
          <w:vertAlign w:val="superscript"/>
        </w:rPr>
        <w:t>◦</w:t>
      </w:r>
      <w:r>
        <w:t>; y no se considera que obra con dolo quien usa de su derecho</w:t>
      </w:r>
      <w:r>
        <w:rPr>
          <w:vertAlign w:val="superscript"/>
        </w:rPr>
        <w:t>◦</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rPr>
          <w:vertAlign w:val="superscript"/>
        </w:rPr>
        <w:t>◦</w:t>
      </w:r>
      <w:r>
        <w:t>.</w:t>
      </w:r>
    </w:p>
    <w:p>
      <w:pPr>
        <w:pStyle w:val="ListBullet"/>
      </w:pPr>
      <w:r>
        <w:rPr>
          <w:i/>
        </w:rPr>
        <w:t>Ubi lex non distinguit, nec nos distinguere debemus</w:t>
      </w:r>
      <w:r>
        <w:t xml:space="preserve"> («donde la ley no diferencia, tampoco debemos diferenciar nosotros»). Lo usa el Tribunal Constitucional</w:t>
      </w:r>
      <w:r>
        <w:rPr>
          <w:vertAlign w:val="superscript"/>
        </w:rPr>
        <w:t>◦</w:t>
      </w:r>
      <w:r>
        <w:t>.</w:t>
      </w:r>
    </w:p>
    <w:p>
      <w:pPr>
        <w:pStyle w:val="ListBullet"/>
      </w:pPr>
      <w:r>
        <w:rPr>
          <w:i/>
        </w:rPr>
        <w:t>Locus regit actum</w:t>
      </w:r>
      <w:r>
        <w:t xml:space="preserve"> («el lugar rige el acto»)</w:t>
      </w:r>
      <w:r>
        <w:rPr>
          <w:vertAlign w:val="superscript"/>
        </w:rPr>
        <w:t>◦</w:t>
      </w:r>
      <w:r>
        <w:t>: la forma de los actos se rige por la ley del lugar donde se celebran</w:t>
      </w:r>
      <w:r>
        <w:rPr>
          <w:vertAlign w:val="superscript"/>
        </w:rPr>
        <w:t>◦</w:t>
      </w:r>
      <w:r>
        <w:t>.</w:t>
      </w:r>
    </w:p>
    <w:p>
      <w:pPr>
        <w:pStyle w:val="ListBullet"/>
      </w:pPr>
      <w:r>
        <w:rPr>
          <w:i/>
        </w:rPr>
        <w:t>Ei incumbit probatio qui dicit, non qui negat</w:t>
      </w:r>
      <w:r>
        <w:t xml:space="preserve"> («incumbe la prueba al que afirma, no al que niega»)</w:t>
      </w:r>
      <w:r>
        <w:rPr>
          <w:vertAlign w:val="superscript"/>
        </w:rPr>
        <w:t>◦</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rPr>
          <w:vertAlign w:val="superscript"/>
        </w:rPr>
        <w:t>◦</w:t>
      </w:r>
      <w:r>
        <w:t>.</w:t>
      </w:r>
    </w:p>
    <w:p>
      <w:pPr>
        <w:pStyle w:val="ListBullet"/>
      </w:pPr>
      <w:r>
        <w:rPr>
          <w:i/>
        </w:rPr>
        <w:t>Res iudicata pro veritate habetur</w:t>
      </w:r>
      <w:r>
        <w:t xml:space="preserve"> («la cosa juzgada se tiene por verdad»)</w:t>
      </w:r>
      <w:r>
        <w:rPr>
          <w:vertAlign w:val="superscript"/>
        </w:rPr>
        <w:t>◦</w:t>
      </w:r>
      <w:r>
        <w:t>.</w:t>
      </w:r>
    </w:p>
    <w:p>
      <w:pPr>
        <w:pStyle w:val="ListBullet"/>
      </w:pPr>
      <w:r>
        <w:rPr>
          <w:i/>
        </w:rPr>
        <w:t>De minimis non curat praetor</w:t>
      </w:r>
      <w:r>
        <w:t xml:space="preserve"> («de los asuntos intrascendentes no se ocupa el magistrado»)</w:t>
      </w:r>
      <w:r>
        <w:rPr>
          <w:vertAlign w:val="superscript"/>
        </w:rPr>
        <w:t>◦</w:t>
      </w:r>
      <w:r>
        <w:t xml:space="preserve">; se cita también como </w:t>
      </w:r>
      <w:r>
        <w:rPr>
          <w:i/>
        </w:rPr>
        <w:t>de minimis non curat lex</w:t>
      </w:r>
      <w:r>
        <w:t>.</w:t>
      </w:r>
    </w:p>
    <w:p>
      <w:pPr>
        <w:pStyle w:val="ListBullet"/>
      </w:pPr>
      <w:r>
        <w:rPr>
          <w:i/>
        </w:rPr>
        <w:t>Sublata causa, tollitur effectus</w:t>
      </w:r>
      <w:r>
        <w:t xml:space="preserve"> («suprimida la causa, cesa el efecto»)</w:t>
      </w:r>
      <w:r>
        <w:rPr>
          <w:vertAlign w:val="superscript"/>
        </w:rPr>
        <w:t>◦</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rPr>
          <w:vertAlign w:val="superscript"/>
        </w:rPr>
        <w:t>◦</w:t>
      </w:r>
      <w:r>
        <w:t>.</w:t>
      </w:r>
    </w:p>
    <w:p>
      <w:pPr>
        <w:pStyle w:val="Heading3"/>
      </w:pPr>
      <w:r>
        <w:t>Origen y prioridad del derecho</w:t>
      </w:r>
    </w:p>
    <w:p>
      <w:pPr>
        <w:pStyle w:val="ListBullet"/>
      </w:pPr>
      <w:r>
        <w:rPr>
          <w:i/>
        </w:rPr>
        <w:t>Prior tempore, potior iure</w:t>
      </w:r>
      <w:r>
        <w:t xml:space="preserve"> («primero en el tiempo, preferido en el derecho»)</w:t>
      </w:r>
      <w:r>
        <w:rPr>
          <w:vertAlign w:val="superscript"/>
        </w:rPr>
        <w:t>◦</w:t>
      </w:r>
      <w:r>
        <w:t>: la prioridad entre derechos iguales sobre una misma cosa, no una regla general de antigüedad.</w:t>
      </w:r>
    </w:p>
    <w:p>
      <w:pPr>
        <w:pStyle w:val="ListBullet"/>
      </w:pPr>
      <w:r>
        <w:rPr>
          <w:i/>
        </w:rPr>
        <w:t>Fictio legis neminem laedit</w:t>
      </w:r>
      <w:r>
        <w:t xml:space="preserve"> («la ficción legal no perjudica a nadie»)</w:t>
      </w:r>
      <w:r>
        <w:rPr>
          <w:vertAlign w:val="superscript"/>
        </w:rPr>
        <w:t>◦</w:t>
      </w:r>
      <w:r>
        <w:t>.</w:t>
      </w:r>
    </w:p>
    <w:p>
      <w:pPr>
        <w:pStyle w:val="ListBullet"/>
      </w:pPr>
      <w:r>
        <w:rPr>
          <w:i/>
        </w:rPr>
        <w:t>Quod initio vitiosum est, non potest tractu temporis convalescere</w:t>
      </w:r>
      <w:r>
        <w:t xml:space="preserve"> («lo que nace viciado no sana con el tiempo»)</w:t>
      </w:r>
      <w:r>
        <w:rPr>
          <w:vertAlign w:val="superscript"/>
        </w:rPr>
        <w:t>◦</w:t>
      </w:r>
      <w:r>
        <w:t>.</w:t>
      </w:r>
    </w:p>
    <w:p>
      <w:pPr>
        <w:pStyle w:val="ListBullet"/>
      </w:pPr>
      <w:r>
        <w:rPr>
          <w:i/>
        </w:rPr>
        <w:t>Nemo plus iuris ad alium transferre potest, quam ipse haberet</w:t>
      </w:r>
      <w:r>
        <w:t xml:space="preserve"> («nadie puede transferir a otro más derecho del que él mismo tiene»)</w:t>
      </w:r>
      <w:r>
        <w:rPr>
          <w:vertAlign w:val="superscript"/>
        </w:rPr>
        <w:t>◦</w:t>
      </w:r>
      <w:r>
        <w:t xml:space="preserve">; y su forma breve, </w:t>
      </w:r>
      <w:r>
        <w:rPr>
          <w:i/>
        </w:rPr>
        <w:t>nemo dat quod non habet</w:t>
      </w:r>
      <w:r>
        <w:t xml:space="preserve"> («nadie da lo que no tiene»)</w:t>
      </w:r>
      <w:r>
        <w:rPr>
          <w:vertAlign w:val="superscript"/>
        </w:rPr>
        <w:t>◦</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rPr>
          <w:vertAlign w:val="superscript"/>
        </w:rPr>
        <w:t>◦</w:t>
      </w:r>
      <w:r>
        <w:t>.</w:t>
      </w:r>
    </w:p>
    <w:p>
      <w:pPr>
        <w:pStyle w:val="ListBullet"/>
      </w:pPr>
      <w:r>
        <w:rPr>
          <w:i/>
        </w:rPr>
        <w:t>Rebus sic stantibus</w:t>
      </w:r>
      <w:r>
        <w:t xml:space="preserve"> («estando así las cosas»): un pacto obliga mientras se mantengan las circunstancias que lo motivaron</w:t>
      </w:r>
      <w:r>
        <w:rPr>
          <w:vertAlign w:val="superscript"/>
        </w:rPr>
        <w:t>◦</w:t>
      </w:r>
      <w:r>
        <w:t>.</w:t>
      </w:r>
    </w:p>
    <w:p>
      <w:pPr>
        <w:pStyle w:val="ListBullet"/>
      </w:pPr>
      <w:r>
        <w:rPr>
          <w:i/>
        </w:rPr>
        <w:t>Vigilantibus non dormientibus iura subveniunt</w:t>
      </w:r>
      <w:r>
        <w:t xml:space="preserve"> («el derecho protege a los vigilantes, no a los que duermen»)</w:t>
      </w:r>
      <w:r>
        <w:rPr>
          <w:vertAlign w:val="superscript"/>
        </w:rPr>
        <w:t>◦</w:t>
      </w:r>
      <w:r>
        <w:t>. Su raíz, en el Digesto: el derecho civil está escrito para los vigilantes</w:t>
      </w:r>
      <w:r>
        <w:rPr>
          <w:vertAlign w:val="superscript"/>
        </w:rPr>
        <w:t>◦</w:t>
      </w:r>
      <w:r>
        <w:t>.</w:t>
      </w:r>
    </w:p>
    <w:p>
      <w:pPr>
        <w:pStyle w:val="ListBullet"/>
      </w:pPr>
      <w:r>
        <w:rPr>
          <w:i/>
        </w:rPr>
        <w:t>Cedant arma togae</w:t>
      </w:r>
      <w:r>
        <w:t xml:space="preserve"> («que las armas cedan ante la toga»): la fuerza, ante el derecho; es un verso del propio Cicerón</w:t>
      </w:r>
      <w:r>
        <w:rPr>
          <w:vertAlign w:val="superscript"/>
        </w:rPr>
        <w:t>◦</w:t>
      </w:r>
      <w:r>
        <w:t>.</w:t>
      </w:r>
    </w:p>
    <w:p>
      <w:pPr>
        <w:pStyle w:val="ListBullet"/>
      </w:pPr>
      <w:r>
        <w:rPr>
          <w:i/>
        </w:rPr>
        <w:t>Silent enim leges inter arma</w:t>
      </w:r>
      <w:r>
        <w:t xml:space="preserve"> («callan las leyes entre las armas»)</w:t>
      </w:r>
      <w:r>
        <w:rPr>
          <w:vertAlign w:val="superscript"/>
        </w:rPr>
        <w:t>◦</w:t>
      </w:r>
      <w:r>
        <w:t>: el reverso de la anterior, la constatación de que la fuerza a veces se impone al derecho.</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H. El glosario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H. El glosario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