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8 Los frutos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6 de octubre de 2026 · Última revisión: 12 de octubre de 2026 · Cambios anotados en el capítulo: 12 · Citas leídas en su fuente: 74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Desde 1971 ninguna moneda se puede cambiar por oro: el dinero vale lo que la ley declara y la confianza que se le tiene. Y la mayor parte la crean los bancos al prestar: nace como deuda.</w:t>
      </w:r>
    </w:p>
    <w:p>
      <w:pPr>
        <w:pStyle w:val="ListBullet"/>
      </w:pPr>
      <w:r>
        <w:t>Durante siete siglos se ha advertido, a menudo desde dentro del poder, que alterar el valor de la moneda es quitar al pueblo sin pedirle permiso.</w:t>
      </w:r>
    </w:p>
    <w:p>
      <w:pPr>
        <w:pStyle w:val="ListBullet"/>
      </w:pPr>
      <w:r>
        <w:t>100 euros guardados el 1 de enero de 1971 compran hoy lo que entonces 3,90. El salario medio compra lo mismo que en 2008. Y entre 2021 y 2025 la subida de los precios rebajó la deuda del Estado más de lo que este pagó en intereses.</w:t>
      </w:r>
    </w:p>
    <w:p>
      <w:pPr>
        <w:pStyle w:val="ListBullet"/>
      </w:pPr>
      <w:r>
        <w:t>De cada 100 euros que paga una empresa por un asalariado medio, al menos 41 van a cotizaciones e IRPF, y hasta 53,6 con todas las capas. El autónomo, entre el 42 % y el 53 %, según la base que elija.</w:t>
      </w:r>
    </w:p>
    <w:p>
      <w:pPr>
        <w:pStyle w:val="ListBullet"/>
      </w:pPr>
      <w:r>
        <w:t>Cuando el ciudadano omite, el sistema lo cobra solo; cuando omite el sistema, el ciudadano tiene que litigar años: la gasolina, la franquicia del IVA, el algoritmo del bono social.</w:t>
      </w:r>
    </w:p>
    <w:p>
      <w:pPr>
        <w:pStyle w:val="ListBullet"/>
      </w:pPr>
      <w:r>
        <w:t>De la hucha de las pensiones se dispusieron 80.337 millones entre 2012 y 2019, y la ley obliga a invertirla en títulos públicos: hoy, solo deuda española. El total del gasto se publica; la suma de quién cobra qué, no.</w:t>
      </w:r>
    </w:p>
    <w:p>
      <w:pPr>
        <w:pStyle w:val="ListBullet"/>
      </w:pPr>
      <w:r>
        <w:t>La vivienda cuesta 8,4 años de la renta bruta de un hogar mediano, y la fecundidad está en su mínimo, 1,10 hijos por mujer. Por qué, queda abierto.</w:t>
      </w:r>
    </w:p>
    <w:p>
      <w:pPr>
        <w:pStyle w:val="ListBullet"/>
      </w:pPr>
      <w:r>
        <w:t>La confianza entre las personas no ha caído. La que está baja es la confianza en las instituciones.</w:t>
      </w:r>
    </w:p>
    <w:p>
      <w:pPr>
        <w:pStyle w:val="Heading2"/>
      </w:pPr>
      <w:r>
        <w:t>8.1 El dinero sin respaldo y la deuda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monetario actual nació de una decisión política fechada; la mayor parte del dinero la crea la banca al prestar; la deuda mundial está en máximos; y España ha escrito en su Constitución que la deuda se paga antes que nada.</w:t>
      </w:r>
    </w:p>
    <w:p>
      <w:r>
        <w:rPr>
          <w:b/>
        </w:rPr>
        <w:t>Conclusión, lo que arrojan los datos:</w:t>
      </w:r>
      <w:r>
        <w:t xml:space="preserve"> el sistema monetario actual nació de una decisión fechada en 1971; el dinero se crea sobre todo como deuda, lo reconocen el regulador y la investigación independiente; la deuda mundial está en máximos; y España ha dado al pago de su deuda prioridad constitucional. Lo que no demuestra ninguna fuente citada: que exista una estrategia mundial coordinada para mantener a la población endeudada. La obra lo califica como «patrón documentado, sin intención probada», y esa calificación solo subiría con una fuente que muestre declaración o coordinación.</w:t>
      </w:r>
    </w:p>
    <w:p>
      <w:pPr>
        <w:pStyle w:val="Heading2"/>
      </w:pPr>
      <w:r>
        <w:t>8.2 Setecientos años de advertencias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desde la Edad Media, autores sin contacto documentado entre sí, varios de ellos dentro del propio poder, advirtieron lo mismo: alterar el valor de la moneda es una forma de quitar al pueblo sin pedirle permiso.</w:t>
      </w:r>
    </w:p>
    <w:p>
      <w:r>
        <w:rPr>
          <w:b/>
        </w:rPr>
        <w:t>Conclusión, lo que arrojan los datos:</w:t>
      </w:r>
      <w:r>
        <w:t xml:space="preserve"> ocho autores en siete siglos, con documento firmado y fechado, advierten de lo mismo: alterar la moneda traslada riqueza sin aprobar ningún impuesto. Varios estaban cerca del poder: un capellán de un rey, un futuro presidente de la Reserva Federal y un presidente de banco central en ejercicio. Dos frases que suelen sumarse a la lista no resisten la prueba igual: la atribuida a Lenin, que Keynes daba de oídas, y la que circula a nombre de Friedman, sin fuente primaria localizada.</w:t>
      </w:r>
    </w:p>
    <w:p>
      <w:pPr>
        <w:pStyle w:val="Heading2"/>
      </w:pPr>
      <w:r>
        <w:t>8.3 El tiempo de vida que se lleva la moneda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 es tiempo de vida guardado. Si pierde valor, se pierde tiempo de vida, sin que nadie lo vote ni dé su consentimiento.</w:t>
      </w:r>
    </w:p>
    <w:p>
      <w:r>
        <w:rPr>
          <w:b/>
        </w:rPr>
        <w:t>Conclusión, lo que arrojan los datos:</w:t>
      </w:r>
      <w:r>
        <w:t xml:space="preserve"> desde 1971, el dinero guardado ha perdido el 96 % de su valor; la meta oficial es que pierda un 2 % al año; el salario medio compra lo mismo que en 2008; el IRPF sube sin ley que lo suba; y entre 2021 y 2025 la inflación rebajó la deuda del Estado más de lo que este pagó en intereses. Lo que pierde quien ahorra lo gana, en buena parte, quien debe. Y no hay una norma que proteja el ahorro privado.</w:t>
      </w:r>
    </w:p>
    <w:p>
      <w:pPr>
        <w:pStyle w:val="Heading2"/>
      </w:pPr>
      <w:r>
        <w:t>8.4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cifra oficial de presión fiscal mide lo que recauda el Estado frente a toda la economía, no lo que soporta una persona. Medida sobre el coste de su trabajo, la carga es mucho mayor, y distinta para el asalariado, el autónomo y el que trabaja con una sociedad.</w:t>
      </w:r>
    </w:p>
    <w:p>
      <w:r>
        <w:rPr>
          <w:b/>
        </w:rPr>
        <w:t>Conclusión, lo que arrojan los datos:</w:t>
      </w:r>
      <w:r>
        <w:t xml:space="preserve"> cada uno de estos hechos está verificado y varios ya se vieron por separado (</w:t>
      </w:r>
      <w:r>
        <w:t>7.6</w:t>
      </w:r>
      <w:r>
        <w:t>). Que su suma sea «servidumbre» o «extorsión», en el sentido estricto de esas palabras, excede lo que prueban: ninguno describe una coacción dirigida y consciente contra una persona concreta. Lo que sí describen, sin necesitar esas palabras, es una asimetría: el Estado extrae con automatismo y precisión, y devuelve con resultados desiguales. Es la misma asimetría de la auditoría, ahora en euros: el 62,1 % de incumplimiento en lo que la Constitución promete al ciudadano (</w:t>
      </w:r>
      <w:r>
        <w:t>7.4</w:t>
      </w:r>
      <w:r>
        <w:t>).</w:t>
      </w:r>
    </w:p>
    <w:p>
      <w:pPr>
        <w:pStyle w:val="Heading2"/>
      </w:pPr>
      <w:r>
        <w:t>8.5 La extracción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toma actuando, y toma también no actuando. Cuando el ciudadano omite, el sistema tiene recargo, sanción y apremio; cuando omite el sistema, el ciudadano tiene que acudir a un tribunal y esperar años.</w:t>
      </w:r>
    </w:p>
    <w:p>
      <w:r>
        <w:rPr>
          <w:b/>
        </w:rPr>
        <w:t>Conclusión, lo que arrojan los datos:</w:t>
      </w:r>
      <w:r>
        <w:t xml:space="preserve"> en cuatro casos de este apartado, quien declara el incumplimiento no es la obra, sino un tercero: el Supremo (la gasolina y BOSCO), la Comisión Europea (la franquicia) y un tribunal superior de justicia, cuya sentencia el Supremo dejó firme (la Zona de Bajas Emisiones). Y en los cuatro el patrón es el mismo: el Estado cobra o niega en el acto, y corrige tarde, cuando corrige. El silencio del ciudadano se castiga solo; el del sistema hay que perseguirlo. Contra la regla no juega todo: el silencio de la Administración a veces favorece al ciudadano, porque el vencimiento del plazo, en los procedimientos que él inicia, le «legitima» para entender estimada su solicitud, salvo las excepciones de la ley</w:t>
      </w:r>
      <w:r>
        <w:t xml:space="preserve"> (Ley 39/2015, art. 24.1)</w:t>
      </w:r>
      <w:r>
        <w:t>.</w:t>
      </w:r>
    </w:p>
    <w:p>
      <w:pPr>
        <w:pStyle w:val="Heading2"/>
      </w:pPr>
      <w:r>
        <w:t>8.6 A dónde va cada euro, y quién sostiene a quién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del gasto público se publica, y se puede seguir. Lo que no se publica sumado es el detalle que permitiría juzgar si el sistema sirve al pueblo o se sirve a sí mismo.</w:t>
      </w:r>
    </w:p>
    <w:p>
      <w:r>
        <w:rPr>
          <w:b/>
        </w:rPr>
        <w:t>Conclusión, lo que arrojan los datos:</w:t>
      </w:r>
      <w:r>
        <w:t xml:space="preserve"> la protección social es la mayor partida del gasto, y las pensiones de quien trabajó las pagan, sobre todo, quienes trabajan hoy: la ley establece un sistema de reparto, no de ahorro. La hucha se vació y la ley obliga a invertirla en títulos públicos: hoy, solo deuda española, con un rendimiento que en diez años no ha cubierto los precios. El agujero de cada año equivale a los intereses, y los intereses suben. La pensión media del Estado es 1,7 veces la del trabajo privado y el salario medio público, un 50 % mayor. Y el detalle de quién cobra qué no se publica sumado.</w:t>
      </w:r>
    </w:p>
    <w:p>
      <w:pPr>
        <w:pStyle w:val="Heading2"/>
      </w:pPr>
      <w:r>
        <w:t>8.7 La industria, el campo y la vivienda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«cada vez que el Estado mete mano en algo, lo asfixia». La obra no lo acepta ni lo descarta en bloque: lo comprueba sector por sector, y dice dónde se confirma, dónde se complica y dónde no aguanta.</w:t>
      </w:r>
    </w:p>
    <w:p>
      <w:r>
        <w:rPr>
          <w:b/>
        </w:rPr>
        <w:t>Conclusión, lo que arrojan los datos:</w:t>
      </w:r>
      <w:r>
        <w:t xml:space="preserve"> la tesis se confirma en parte: la industria perdió unos 850.000 empleos entre 1977 y 1985, y los contratos de alquiler registrados caen en Cataluña, aunque desde antes de que se regulara. Pero se complica: la pérdida de empleo industrial empezó antes de la reconversión, las privatizaciones las hicieron Gobiernos de distinto signo, y el puesto de España sube y baja según el año y la medida. Y un punto no aguantó el contraste: la propia obra descartó sus cifras sobre la ocupación, que venían de blogs y no de organismos oficiales. Lo que el diseño legal hace en ese terreno se vio en </w:t>
      </w:r>
      <w:r>
        <w:t>7.7</w:t>
      </w:r>
      <w:r>
        <w:t>.</w:t>
      </w:r>
    </w:p>
    <w:p>
      <w:pPr>
        <w:pStyle w:val="Heading2"/>
      </w:pPr>
      <w:r>
        <w:t>8.8 Vivienda y fecundidad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vivienda se ha alejado del salario y los hijos están en mínimos. Que lo uno cause lo otro, o que ambos vengan de la captura institucional, no está demostrado: la pregunta causal queda abierta.</w:t>
      </w:r>
    </w:p>
    <w:p>
      <w:r>
        <w:rPr>
          <w:b/>
        </w:rPr>
        <w:t>Conclusión, lo que arrojan los datos:</w:t>
      </w:r>
      <w:r>
        <w:t xml:space="preserve"> dos cifras de fuente oficial, 8,36 años de renta bruta de un hogar mediano y un 38 % de su renta disponible el primer año de hipoteca, y una fecundidad en su mínimo, en el mismo país y el mismo periodo, dibujan un vaciado real del poder adquisitivo aplicado a la decisión más básica: formar un hogar. Lo que no dicen es por qué. Lo que sí está documentado son mecanismos del propio Estado que reducen la renta disponible: el IRPF que sube solo y la pérdida de valor del dinero (</w:t>
      </w:r>
      <w:r>
        <w:t>8.3</w:t>
      </w:r>
      <w:r>
        <w:t>). No prueban que causen la caída de los hijos, y la obra no lo afirma.</w:t>
      </w:r>
    </w:p>
    <w:p>
      <w:pPr>
        <w:pStyle w:val="Heading2"/>
      </w:pPr>
      <w:r>
        <w:t>8.9 La confianza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sensación de que la gente es peor que antes es, según la mejor evidencia disponible, una ilusión. Lo que sí está bajo es la confianza en las instituciones.</w:t>
      </w:r>
    </w:p>
    <w:p>
      <w:r>
        <w:rPr>
          <w:b/>
        </w:rPr>
        <w:t>Conclusión, lo que arrojan los datos:</w:t>
      </w:r>
      <w:r>
        <w:t xml:space="preserve"> la confianza entre las personas es hoy mayor que hace doce años, y la desconfianza apunta a las instituciones; el diseño legal enfrenta a la gente sin que nadie tenga que actuar de mala fe (</w:t>
      </w:r>
      <w:r>
        <w:t>7.7</w:t>
      </w:r>
      <w:r>
        <w:t>); y la vivienda y la fecundidad están en mínimos, con la pregunta causal abierta (</w:t>
      </w:r>
      <w:r>
        <w:t>8.8</w:t>
      </w:r>
      <w:r>
        <w:t>). El problema no está en la gente.</w:t>
      </w:r>
    </w:p>
    <w:p>
      <w:pPr>
        <w:pStyle w:val="Heading2"/>
      </w:pPr>
      <w:r>
        <w:t>8.10 La salud y la familia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lo que se ve a simple vista, los datos oficiales confirman una cosa y matizan las otras: el consumo de antidepresivos se ha multiplicado; los suicidios y los divorcios, medidos por habitante y separando a la población española de la extranjera, no suben. Se dice lo que muestran las series y no se afirma ninguna causa.</w:t>
      </w:r>
    </w:p>
    <w:p>
      <w:r>
        <w:rPr>
          <w:b/>
        </w:rPr>
        <w:t>Conclusión, lo que arrojan los datos:</w:t>
      </w:r>
      <w:r>
        <w:t xml:space="preserve"> el consumo de antidepresivos se ha multiplicado por casi cuatro desde 2000, en las tres series oficiales que lo miden. El número de suicidios y de divorcios sube desde 1980 o 2000, pero por habitante no: la tasa de suicidios es casi la misma desde 2005 y baja ajustada por edad, y los divorcios suben hasta 2006 y bajan después. Separar a la población española de la extranjera no cambia ninguna de las dos series. La depresión y la ansiedad declaradas se mantienen, y los síntomas depresivos graves, medidos con cuestionario, suben. La obra no afirma ninguna causa.</w:t>
      </w:r>
    </w:p>
    <w:p>
      <w:pPr>
        <w:pStyle w:val="Heading2"/>
      </w:pPr>
      <w:r>
        <w:t>8.11 El efectivo y la señal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pagos grandes en efectivo se limitan cada vez más y se prepara un euro digital; el texto de la Biblia que habla de condicionar el comprar y el vender a una señal lo liga a la lealtad a un poder, no a un medio de pago.</w:t>
      </w:r>
    </w:p>
    <w:p>
      <w:r>
        <w:rPr>
          <w:b/>
        </w:rPr>
        <w:t>Conclusión, lo que arrojan los datos.</w:t>
      </w:r>
      <w:r>
        <w:t xml:space="preserve"> Hay una dirección: el límite de pago en efectivo en España bajó de 2.500 a 1.000 euros, la Unión Europea fija un máximo de 10.000 desde 2027, el BCE dejó de producir el billete de 500 y se prepara el euro digital. Y hay hechos que no encajan con la idea de que el efectivo vaya a desaparecer: el billete de 500 sigue siendo de curso legal, la Comisión propone proteger el efectivo, el BCE dice que el euro digital lo complementaría y ningún país europeo lo prohíbe en general. Estos hechos no prueban un plan de eliminar el efectivo ni lo descartan: muestran un estrechamiento de los pagos grandes en efectivo y un dinero digital en preparación.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causa no está demostrada.</w:t>
      </w:r>
      <w:r>
        <w:t xml:space="preserve"> El capítulo mide efectos: la pérdida de valor del dinero, la carga, la vivienda, los hijos. Que la captura institucional los cause es una hipótesis abierta (</w:t>
      </w:r>
      <w:r>
        <w:t>8.8</w:t>
      </w:r>
      <w:r>
        <w:t>), y que exista una estrategia mundial para mantener a la población endeudada, también (</w:t>
      </w:r>
      <w:r>
        <w:t>8.1</w:t>
      </w:r>
      <w:r>
        <w:t>).</w:t>
      </w:r>
    </w:p>
    <w:p>
      <w:pPr>
        <w:pStyle w:val="ListBullet"/>
      </w:pPr>
      <w:r>
        <w:rPr>
          <w:b/>
        </w:rPr>
        <w:t>Los cálculos de la obra se dicen como tales:</w:t>
      </w:r>
      <w:r>
        <w:t xml:space="preserve"> la pérdida de los 100 euros desde 1971, la deuda rebajada por la inflación, los perfiles del autónomo y del societario, los salarios medios público y privado, los puestos de España por PIB y la aritmética de la vivienda.</w:t>
      </w:r>
    </w:p>
    <w:p>
      <w:pPr>
        <w:pStyle w:val="ListBullet"/>
      </w:pPr>
      <w:r>
        <w:rPr>
          <w:b/>
        </w:rPr>
        <w:t>Las capas 4 y 5 de la carga</w:t>
      </w:r>
      <w:r>
        <w:t xml:space="preserve"> son una hipótesis de reparto y una obligación futura; la parte firme es la capa 1, contrastada con la OCDE.</w:t>
      </w:r>
    </w:p>
    <w:p>
      <w:pPr>
        <w:pStyle w:val="ListBullet"/>
      </w:pPr>
      <w:r>
        <w:rPr>
          <w:b/>
        </w:rPr>
        <w:t>Las comparaciones de medias</w:t>
      </w:r>
      <w:r>
        <w:t xml:space="preserve"> entre lo público y lo privado no corrigen la jornada, la antigüedad ni la cualificación.</w:t>
      </w:r>
    </w:p>
    <w:p>
      <w:pPr>
        <w:pStyle w:val="ListBullet"/>
      </w:pPr>
      <w:r>
        <w:rPr>
          <w:b/>
        </w:rPr>
        <w:t>Fuentes privadas o interesadas, marcadas:</w:t>
      </w:r>
      <w:r>
        <w:t xml:space="preserve"> el Impuestómetro (con datos de Molinari y EY), una asociación y una fundación de autónomos y pymes, un sindicato, una organización ecologista y la prensa sobre las multas de la Zona de Bajas Emisiones, cuya cifra la da una asociación de automovilistas y no un organismo oficial.</w:t>
      </w:r>
    </w:p>
    <w:p>
      <w:pPr>
        <w:pStyle w:val="ListBullet"/>
      </w:pPr>
      <w:r>
        <w:rPr>
          <w:b/>
        </w:rPr>
        <w:t>Lo que no se ha podido leer:</w:t>
      </w:r>
      <w:r>
        <w:t xml:space="preserve"> la STS de 2017 del foto-rojo, entera; la réplica de Smith, Smith y Stocks, salvo en transcripción; el informe completo del IIF, que es solo para socios; la cita atribuida a Friedman sobre la inflación como impuesto sin ley, que circula sin fuente primaria localizada.</w:t>
      </w:r>
    </w:p>
    <w:p>
      <w:pPr>
        <w:pStyle w:val="ListBullet"/>
      </w:pPr>
      <w:r>
        <w:rPr>
          <w:b/>
        </w:rPr>
        <w:t>Lo que no entra:</w:t>
      </w:r>
      <w:r>
        <w:t xml:space="preserve"> el «63 % del PIB» de la zona euro, los «18 billones» de dinero nuevo y las frases de la «literatura financiera» (sin fuente); los precios de Benidorm; las cifras de coste de la reconversión, de una fuente concentrada; las «60.000 viviendas de alquiler» perdidas; Nozick, y Murphy y Nagel.</w:t>
      </w:r>
    </w:p>
    <w:p>
      <w:pPr>
        <w:pStyle w:val="ListBullet"/>
      </w:pPr>
      <w:r>
        <w:rPr>
          <w:b/>
        </w:rPr>
        <w:t>Los números de la salud y la familia describen, no explican.</w:t>
      </w:r>
      <w:r>
        <w:t xml:space="preserve"> Que suban o no suban estas series no prueba que la causa sea el dinero, el Estado ni nada concreto: son datos de un país en el que han cambiado muchas cosas a la vez, y la obra no afirma ninguna causa.</w:t>
      </w:r>
    </w:p>
    <w:p>
      <w:pPr>
        <w:pStyle w:val="ListBullet"/>
      </w:pPr>
      <w:r>
        <w:rPr>
          <w:b/>
        </w:rPr>
        <w:t>«Española» no es «nativa», y algunos datos son provisionales o no se pudieron leer.</w:t>
      </w:r>
      <w:r>
        <w:t xml:space="preserve"> El INE publica los suicidios por nacionalidad y no por país de nacimiento; los suicidios de 2025 y la población de 2025 y 2026 son provisionales; el informe de antidepresivos de la Agencia de 2025 es un panel que no se pudo descargar; la serie de la OCDE tiene roturas en 2014 y 2018; y la depresión declarada de 2006 no es comparable.</w:t>
      </w:r>
    </w:p>
    <w:p>
      <w:pPr>
        <w:pStyle w:val="ListBullet"/>
      </w:pPr>
      <w:r>
        <w:rPr>
          <w:b/>
        </w:rPr>
        <w:t>El efectivo y la señal: los datos no muestran ningún plan de eliminar el efectivo,</w:t>
      </w:r>
      <w:r>
        <w:t xml:space="preserve"> y las fuentes oficiales leídas dicen lo contrario; la obra expone una dirección de hechos, con los que no encajan, y no afirma ninguna intención (</w:t>
      </w:r>
      <w:r>
        <w:t>8.11</w:t>
      </w:r>
      <w:r>
        <w:t>).</w:t>
      </w:r>
    </w:p>
    <w:p>
      <w:pPr>
        <w:pStyle w:val="ListBullet"/>
      </w:pPr>
      <w:r>
        <w:rPr>
          <w:b/>
        </w:rPr>
        <w:t>La señal del Apocalipsis no nombra ningún medio de pago,</w:t>
      </w:r>
      <w:r>
        <w:t xml:space="preserve"> y los dos autores antiguos que la comentan la ligan a una lealtad (Hipólito, a un acto de culto): la lectura de hoy es del autor y no se puede comprobar con los datos. El argumento del salto de vocabulario no sirve para elegir un medio concreto, porque permitiría igual de bien cualquier identificación (</w:t>
      </w:r>
      <w:r>
        <w:t>8.11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t xml:space="preserve">que la moneda sin respaldo estabiliza la economía y que el banco central es independiente, y que «hoy ningún gobierno devalúa para financiarse»: </w:t>
      </w:r>
      <w:r>
        <w:t>cargo 17</w:t>
      </w:r>
      <w:r>
        <w:t xml:space="preserve"> (</w:t>
      </w:r>
      <w:r>
        <w:t>11.3</w:t>
      </w:r>
      <w:r>
        <w:t>);</w:t>
      </w:r>
    </w:p>
    <w:p>
      <w:pPr>
        <w:pStyle w:val="ListBullet"/>
      </w:pPr>
      <w:r>
        <w:t>«No existe ningún plan mundial», «La desconfianza en las instituciones también es un sesgo» y «No todas las instituciones son iguales»: en las cuestiones previas (</w:t>
      </w:r>
      <w:r>
        <w:t>11.2</w:t>
      </w:r>
      <w:r>
        <w:t>);</w:t>
      </w:r>
    </w:p>
    <w:p>
      <w:pPr>
        <w:pStyle w:val="ListBullet"/>
      </w:pPr>
      <w:r>
        <w:t xml:space="preserve">«La reconversión era inevitable»: </w:t>
      </w:r>
      <w:r>
        <w:t>cargo 28</w:t>
      </w:r>
      <w:r>
        <w:t>;</w:t>
      </w:r>
    </w:p>
    <w:p>
      <w:pPr>
        <w:pStyle w:val="ListBullet"/>
      </w:pPr>
      <w:r>
        <w:t xml:space="preserve">«La baja fecundidad es un fenómeno europeo y cultural», «Los 58 años son una cifra sindical, y no son comparables» y «Correlación no es causalidad»: </w:t>
      </w:r>
      <w:r>
        <w:t>cargo 10</w:t>
      </w:r>
      <w:r>
        <w:t>;</w:t>
      </w:r>
    </w:p>
    <w:p>
      <w:pPr>
        <w:pStyle w:val="ListBullet"/>
      </w:pPr>
      <w:r>
        <w:t xml:space="preserve">las omisiones, de BOSCO, la franquicia y la gasolina: </w:t>
      </w:r>
      <w:r>
        <w:t>cargo 22</w:t>
      </w:r>
      <w:r>
        <w:t xml:space="preserve">; los aforamientos: </w:t>
      </w:r>
      <w:r>
        <w:t>cargo 2</w:t>
      </w:r>
      <w:r>
        <w:t>;</w:t>
      </w:r>
    </w:p>
    <w:p>
      <w:pPr>
        <w:pStyle w:val="ListBullet"/>
      </w:pPr>
      <w:r>
        <w:t>«la conclusión de conjunto», y que decir que «el sistema creó los problemas» es un salto: frente al dictamen (</w:t>
      </w:r>
      <w:r>
        <w:t>11.4</w:t>
      </w:r>
      <w:r>
        <w:t>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Desde 1971, el dinero vale lo que la ley declara y la confianza que se le tiene: es el dinero sin respaldo material. La mayor parte la crean los bancos al prestar.</w:t>
      </w:r>
    </w:p>
    <w:p>
      <w:pPr>
        <w:pStyle w:val="ListBullet"/>
      </w:pPr>
      <w:r>
        <w:t>Durante siete siglos, desde dentro del poder, se advirtió lo mismo: alterar la moneda es quitar sin pedir permiso.</w:t>
      </w:r>
    </w:p>
    <w:p>
      <w:pPr>
        <w:pStyle w:val="ListBullet"/>
      </w:pPr>
      <w:r>
        <w:t>El tiempo de vida cristalizado: 100 euros guardados el 1 de enero de 1971 compran hoy lo que entonces 3,90; la meta oficial es perder un 2 % al año; y lo que pierde quien ahorra lo gana, en buena parte, quien debe.</w:t>
      </w:r>
    </w:p>
    <w:p>
      <w:pPr>
        <w:pStyle w:val="ListBullet"/>
      </w:pPr>
      <w:r>
        <w:t>La carga: de cada 100 euros que cuesta el trabajo de un asalariado medio, al menos 41 van a cotizaciones e IRPF, y hasta 53,6 con todas las capas.</w:t>
      </w:r>
    </w:p>
    <w:p>
      <w:pPr>
        <w:pStyle w:val="ListBullet"/>
      </w:pPr>
      <w:r>
        <w:t>El silencio del ciudadano se castiga solo; el del sistema hay que perseguirlo durante años.</w:t>
      </w:r>
    </w:p>
    <w:p>
      <w:pPr>
        <w:pStyle w:val="ListBullet"/>
      </w:pPr>
      <w:r>
        <w:t>La hucha de las pensiones se vació y está invertida, por ley, en deuda del propio Estado. Se publica cada dato, nunca la suma: es el muro de opacidad.</w:t>
      </w:r>
    </w:p>
    <w:p>
      <w:pPr>
        <w:pStyle w:val="ListBullet"/>
      </w:pPr>
      <w:r>
        <w:t>La vivienda se ha alejado del salario y los hijos están en mínimos; la causa, abierta.</w:t>
      </w:r>
    </w:p>
    <w:p>
      <w:pPr>
        <w:pStyle w:val="ListBullet"/>
      </w:pPr>
      <w:r>
        <w:t>La gente no es peor que antes: la confianza que ha caído es la que se tenía en las instituciones.</w:t>
      </w:r>
    </w:p>
    <w:p>
      <w:pPr>
        <w:pStyle w:val="ListBullet"/>
      </w:pPr>
      <w:r>
        <w:t>La salud y la familia: los antidepresivos se han multiplicado por casi cuatro desde 2000; los suicidios y los divorcios, por habitante y separando a la población española de la extranjera, no suben; no se afirma ninguna causa.</w:t>
      </w:r>
    </w:p>
    <w:p>
      <w:pPr>
        <w:pStyle w:val="ListBullet"/>
      </w:pPr>
      <w:r>
        <w:t>El efectivo y la señal: los pagos grandes en efectivo se limitan cada vez más y se prepara un euro digital, con hechos que no encajan con que el efectivo vaya a desaparecer; el texto de la Biblia que condiciona comprar y vender a una señal la liga a la lealtad a un poder, no a un medio de pago; la obra no afirma ninguna intención.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la moneda que, al perder valor, quita sin pedir permiso el tiempo de vida de quien ahorra; el silencio del ciudadano, que se castiga solo, frente al del sistema, que hay que perseguir durante años; y el muro de opacidad, que publica cada dato y no la suma.</w:t>
      </w:r>
    </w:p>
    <w:p>
      <w:pPr>
        <w:pStyle w:val="ListBullet"/>
      </w:pPr>
      <w:r>
        <w:rPr>
          <w:b/>
        </w:rPr>
        <w:t>Lo siguiente:</w:t>
      </w:r>
      <w:r>
        <w:t xml:space="preserve"> lo medido, reunido en una conclusión, el dictamen, con sus límites (</w:t>
      </w:r>
      <w:r>
        <w:t>capítulo 9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8 Los frutos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Los frutos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