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las referencias que las sostienen y las refutan</w:t>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pPr>
        <w:pStyle w:val="Heading3"/>
      </w:pPr>
      <w:r>
        <w:t>Tres maneras de rellenar la misma idea</w:t>
      </w:r>
    </w:p>
    <w:p>
      <w:pPr>
        <w:pStyle w:val="Heading3"/>
      </w:pPr>
      <w:r>
        <w:t>Una idea, no un hecho: lo dijeron sus autores</w:t>
      </w:r>
    </w:p>
    <w:p>
      <w:pPr>
        <w:pStyle w:val="Heading3"/>
      </w:pPr>
      <w:r>
        <w:t>Lo que se tomó y lo que se dejó</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pPr>
        <w:pStyle w:val="Heading3"/>
      </w:pPr>
      <w:r>
        <w:t>Del aprendiz al ser superior</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t xml:space="preserve"> (Sófocles, Edipo rey, 873)</w:t>
      </w:r>
      <w:r>
        <w:t>. Lo que no prueba: siete casos no hacen una ley; son casos con fecha y fuente, con sus límites.</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pPr>
        <w:pStyle w:val="Heading3"/>
      </w:pPr>
      <w:r>
        <w:t>Siete piezas de España</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w:t>
      </w:r>
    </w:p>
    <w:p>
      <w:pPr>
        <w:pStyle w:val="Heading2"/>
      </w:pPr>
      <w:r>
        <w:t>Límite honesto de la prueba</w:t>
      </w:r>
    </w:p>
    <w:p>
      <w:pPr>
        <w:pStyle w:val="ListBullet"/>
      </w:pPr>
      <w:r>
        <w:rPr>
          <w:b/>
        </w:rPr>
        <w:t>El contrato social como idea no prueba fraude.</w:t>
      </w:r>
      <w:r>
        <w:t xml:space="preserve"> Una ficción declarada no es un vicio (</w:t>
      </w:r>
      <w:r>
        <w:t>5.3</w:t>
      </w:r>
      <w:r>
        <w:t xml:space="preserve">), y que sus autores lo presentaran como idea es honestidad, no engaño. La asimetría está en el uso que se hizo después. </w:t>
      </w:r>
    </w:p>
    <w:p>
      <w:pPr>
        <w:pStyle w:val="ListBullet"/>
      </w:pPr>
      <w:r>
        <w:rPr>
          <w:b/>
        </w:rPr>
        <w:t>1793 es un caso, no una ley.</w:t>
      </w:r>
      <w:r>
        <w:t xml:space="preserve"> Prueba que el patrón ocurrió, no que toda invocación de la voluntad general sea un abuso. Y el estudio más reciente discute que Robespierre fuera una aplicación de Rousseau. </w:t>
      </w:r>
    </w:p>
    <w:p>
      <w:pPr>
        <w:pStyle w:val="ListBullet"/>
      </w:pPr>
      <w:r>
        <w:rPr>
          <w:b/>
        </w:rPr>
        <w:t>Los casos de autoproclamación son siete</w:t>
      </w:r>
      <w:r>
        <w:t xml:space="preserve">, con fecha y fuente. No prueban que todo poder acabe así, ni que todo el que se sabe aprendiz gobierne bien: Salomón. </w:t>
      </w:r>
    </w:p>
    <w:p>
      <w:pPr>
        <w:pStyle w:val="ListBullet"/>
      </w:pPr>
      <w:r>
        <w:rPr>
          <w:b/>
        </w:rPr>
        <w:t>El pacto de 1978 fue real:</w:t>
      </w:r>
      <w:r>
        <w:t xml:space="preserve"> lo redactó una ponencia de siete diputados, lo votó una amplia mayoría y se ratificó en referéndum. Lo que la obra discute es que obligue a quien no lo votó (</w:t>
      </w:r>
      <w:r>
        <w:t>11.3</w:t>
      </w:r>
      <w:r>
        <w:t xml:space="preserve">, </w:t>
      </w:r>
      <w:r>
        <w:t>cargo 11</w:t>
      </w:r>
      <w:r>
        <w:t xml:space="preserve">). </w:t>
      </w:r>
    </w:p>
    <w:p>
      <w:pPr>
        <w:pStyle w:val="ListBullet"/>
      </w:pPr>
      <w:r>
        <w:rPr>
          <w:b/>
        </w:rPr>
        <w:t>Las barreras electorales son legales</w:t>
      </w:r>
      <w:r>
        <w:t xml:space="preserve"> y las han avalado el Constitucional y el Tribunal Europeo de Derechos Humanos; su fin declarado es evitar la fragmentación. Que favorezcan a los grandes es un efecto que describe el Consejo de Estado, no un propósito probado. </w:t>
      </w:r>
    </w:p>
    <w:p>
      <w:pPr>
        <w:pStyle w:val="ListBullet"/>
      </w:pPr>
      <w:r>
        <w:rPr>
          <w:b/>
        </w:rPr>
        <w:t>Los índices miden percepción y gobernanza,</w:t>
      </w:r>
      <w:r>
        <w:t xml:space="preserve"> no patrimonialismo: ningún organismo da un porcentaje de eso. </w:t>
      </w:r>
    </w:p>
    <w:p>
      <w:pPr>
        <w:pStyle w:val="ListBullet"/>
      </w:pPr>
      <w:r>
        <w:rPr>
          <w:b/>
        </w:rPr>
        <w:t>Fuentes secundarias:</w:t>
      </w:r>
      <w:r>
        <w:t xml:space="preserve"> Straehle, Berlin, Cordero y Aldunate, Pita Broncano, el Centro Memorial de las Víctimas del Terrorismo (2020) y Buesa (2022), para las muertes de 1980, y, para la Operación Galaxia y la Isla de las Rosas, Muñoz Bolaños (2012), Zugasti (2008) y Calabrese (2024). Tilly, solo por el título.</w:t>
      </w:r>
    </w:p>
    <w:p>
      <w:pPr>
        <w:pStyle w:val="ListBullet"/>
      </w:pPr>
      <w:r>
        <w:rPr>
          <w:b/>
        </w:rPr>
        <w:t>Los recuentos de 1980 y de las multas.</w:t>
      </w:r>
      <w:r>
        <w:t xml:space="preserve"> Para 1980 no hay una cifra única: el Centro Memorial cuenta 132 muertos por todo el terrorismo, la Cronología de la Guardia Civil 97 de ETA y «Vidas rotas» uno más, y la obra no ha leído el libro del Memorial entero. El recuento de las multas es de la obra, hecho por programa sobre dos listados en PDF con celdas combinadas, y puede diferir en unas pocas filas de otros recuentos.</w:t>
      </w:r>
    </w:p>
    <w:p>
      <w:pPr>
        <w:pStyle w:val="ListBullet"/>
      </w:pPr>
      <w:r>
        <w:rPr>
          <w:b/>
        </w:rPr>
        <w:t>Lo que no entra:</w:t>
      </w:r>
      <w:r>
        <w:t xml:space="preserve"> la frase de Furet (no se ha localizado); Kling y Vírgala (sin acceso a su texto); el «sindicato del crimen» de North, Wallis y Weingast (no está en el texto leído); las siete condenas de siete por delitos de opinión (sin el estudio); las tres condiciones de la rebelión legítima (sin un texto que las fije); la muerte de Condorcet (no se ha leído en fuente); Sealand, Liberland y Minerva (solo enciclopedia); y el pasaje de Westfalia, que no existe. </w:t>
      </w:r>
    </w:p>
    <w:p>
      <w:pPr>
        <w:pStyle w:val="Heading2"/>
      </w:pPr>
      <w:r>
        <w:t>Dónde se oye la defensa del Estado</w:t>
      </w:r>
    </w:p>
    <w:p>
      <w:r>
        <w:t>La defensa del Estado frente a este capítulo, y lo que la obra le responde, se oyen en el juicio:</w:t>
      </w:r>
    </w:p>
    <w:p>
      <w:pPr>
        <w:pStyle w:val="ListBullet"/>
      </w:pPr>
      <w:r>
        <w:t xml:space="preserve">«La Constitución de 1978 es el contrato»: </w:t>
      </w:r>
      <w:r>
        <w:t>cargo 11</w:t>
      </w:r>
      <w:r>
        <w:t xml:space="preserve"> (</w:t>
      </w:r>
      <w:r>
        <w:t>11.3</w:t>
      </w:r>
      <w:r>
        <w:t>);</w:t>
      </w:r>
    </w:p>
    <w:p>
      <w:pPr>
        <w:pStyle w:val="ListBullet"/>
      </w:pPr>
      <w:r>
        <w:t xml:space="preserve">«La autoridad no nace de un título superior»: </w:t>
      </w:r>
      <w:r>
        <w:t>cargo 2</w:t>
      </w:r>
      <w:r>
        <w:t>;</w:t>
      </w:r>
    </w:p>
    <w:p>
      <w:pPr>
        <w:pStyle w:val="ListBullet"/>
      </w:pPr>
      <w:r>
        <w:t>«Nadie puede declararse exento de la ley»: en las cuestiones previas (</w:t>
      </w:r>
      <w:r>
        <w:t>11.2</w:t>
      </w:r>
      <w:r>
        <w:t>);</w:t>
      </w:r>
    </w:p>
    <w:p>
      <w:pPr>
        <w:pStyle w:val="ListBullet"/>
      </w:pPr>
      <w:r>
        <w:t xml:space="preserve">«La separación de 1811 se cumple»: </w:t>
      </w:r>
      <w:r>
        <w:t>cargo 13</w:t>
      </w:r>
      <w:r>
        <w:t xml:space="preserve">; y «el impuesto es legítimo porque lo aprueba la ley»: </w:t>
      </w:r>
      <w:r>
        <w:t>cargo 7</w:t>
      </w:r>
      <w:r>
        <w:t>;</w:t>
      </w:r>
    </w:p>
    <w:p>
      <w:pPr>
        <w:pStyle w:val="ListBullet"/>
      </w:pPr>
      <w:r>
        <w:t xml:space="preserve">el Tribunal de Cuentas y la separación de poderes: </w:t>
      </w:r>
      <w:r>
        <w:t>cargo 24</w:t>
      </w:r>
      <w:r>
        <w:t xml:space="preserve">; y los avales y las barreras de entrada: </w:t>
      </w:r>
      <w:r>
        <w:t>cargo 6</w:t>
      </w:r>
      <w:r>
        <w:t>.</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las referencias que las sostienen y las refutan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las referencias que las sostienen y las refutan · 6 Cómo se construyó el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Cómo se construyó el Estado · Las conclusiones, con las referencias que las sostienen y las refutan</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